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440F7" w14:textId="3FE685A2" w:rsidR="009759F7" w:rsidRDefault="00746268" w:rsidP="00D34B72">
      <w:pPr>
        <w:pStyle w:val="Title"/>
        <w:ind w:left="0"/>
        <w:rPr>
          <w:lang w:val="en-GB" w:eastAsia="en-GB"/>
        </w:rPr>
      </w:pPr>
      <w:bookmarkStart w:id="0" w:name="_Hlk192598526"/>
      <w:r>
        <w:rPr>
          <w:lang w:val="en-GB" w:eastAsia="en-GB"/>
        </w:rPr>
        <w:t xml:space="preserve">HCCSP </w:t>
      </w:r>
      <w:r w:rsidRPr="00746268">
        <w:rPr>
          <w:lang w:val="en-GB" w:eastAsia="en-GB"/>
        </w:rPr>
        <w:t xml:space="preserve">Green Asset Sequestration </w:t>
      </w:r>
      <w:r w:rsidR="00AD2621">
        <w:rPr>
          <w:lang w:val="en-GB" w:eastAsia="en-GB"/>
        </w:rPr>
        <w:t xml:space="preserve">Tool and </w:t>
      </w:r>
      <w:r w:rsidRPr="00746268">
        <w:rPr>
          <w:lang w:val="en-GB" w:eastAsia="en-GB"/>
        </w:rPr>
        <w:t xml:space="preserve">Standards for Local Authorities </w:t>
      </w:r>
    </w:p>
    <w:p w14:paraId="243CF4EA" w14:textId="32901082" w:rsidR="00335C8A" w:rsidRDefault="00335C8A" w:rsidP="00D34B72">
      <w:pPr>
        <w:pStyle w:val="Title"/>
        <w:ind w:left="0"/>
        <w:rPr>
          <w:lang w:val="en-GB" w:eastAsia="en-GB"/>
        </w:rPr>
      </w:pPr>
    </w:p>
    <w:p w14:paraId="0E254738" w14:textId="6CBBBFD9" w:rsidR="00AB0E2A" w:rsidRPr="00CF1766" w:rsidRDefault="00AB0E2A" w:rsidP="00CF1766">
      <w:pPr>
        <w:pStyle w:val="Subtitle"/>
      </w:pPr>
      <w:r w:rsidRPr="00CF1766">
        <w:t>Executive Summary</w:t>
      </w:r>
    </w:p>
    <w:p w14:paraId="296013DA" w14:textId="77777777" w:rsidR="00CF1766" w:rsidRPr="00CF1766" w:rsidRDefault="00CF1766" w:rsidP="00CF1766">
      <w:pPr>
        <w:pStyle w:val="Subtitle"/>
        <w:rPr>
          <w:rFonts w:eastAsia="Arial MT" w:cs="Arial MT"/>
          <w:b w:val="0"/>
          <w:color w:val="auto"/>
          <w:spacing w:val="0"/>
          <w:sz w:val="24"/>
          <w:lang w:val="en-GB" w:eastAsia="en-GB"/>
        </w:rPr>
      </w:pPr>
      <w:r w:rsidRPr="00CF1766">
        <w:rPr>
          <w:rFonts w:eastAsia="Arial MT" w:cs="Arial MT"/>
          <w:b w:val="0"/>
          <w:color w:val="auto"/>
          <w:spacing w:val="0"/>
          <w:sz w:val="24"/>
          <w:lang w:val="en-GB" w:eastAsia="en-GB"/>
        </w:rPr>
        <w:t>Local authorities across England continue to face residual greenhouse gas emissions despite significant decarbonisation activity. At the same time, many authorities own or manage parks, woodlands, grasslands, wetlands and other green assets that remove carbon dioxide from the atmosphere through natural processes.</w:t>
      </w:r>
    </w:p>
    <w:p w14:paraId="65E65EFF" w14:textId="77777777" w:rsidR="00CF1766" w:rsidRPr="00CF1766" w:rsidRDefault="00CF1766" w:rsidP="00CF1766">
      <w:pPr>
        <w:pStyle w:val="Subtitle"/>
        <w:rPr>
          <w:rFonts w:eastAsia="Arial MT" w:cs="Arial MT"/>
          <w:b w:val="0"/>
          <w:color w:val="auto"/>
          <w:spacing w:val="0"/>
          <w:sz w:val="24"/>
          <w:lang w:val="en-GB" w:eastAsia="en-GB"/>
        </w:rPr>
      </w:pPr>
      <w:r w:rsidRPr="00CF1766">
        <w:rPr>
          <w:rFonts w:eastAsia="Arial MT" w:cs="Arial MT"/>
          <w:b w:val="0"/>
          <w:color w:val="auto"/>
          <w:spacing w:val="0"/>
          <w:sz w:val="24"/>
          <w:lang w:val="en-GB" w:eastAsia="en-GB"/>
        </w:rPr>
        <w:t>There is currently no nationally endorsed methodology for English local authorities to consistently quantify and report the carbon sequestration value of these assets. As a result, authorities that wish to include sequestration within their operational carbon reporting face challenges relating to consistency, transparency and governance.</w:t>
      </w:r>
    </w:p>
    <w:p w14:paraId="77B21404" w14:textId="2AA73D26" w:rsidR="00CF1766" w:rsidRPr="00CF1766" w:rsidRDefault="00CF1766" w:rsidP="00CF1766">
      <w:pPr>
        <w:pStyle w:val="Subtitle"/>
        <w:rPr>
          <w:rFonts w:eastAsia="Arial MT" w:cs="Arial MT"/>
          <w:b w:val="0"/>
          <w:color w:val="auto"/>
          <w:spacing w:val="0"/>
          <w:sz w:val="24"/>
          <w:lang w:val="en-GB" w:eastAsia="en-GB"/>
        </w:rPr>
      </w:pPr>
      <w:r w:rsidRPr="00CF1766">
        <w:rPr>
          <w:rFonts w:eastAsia="Arial MT" w:cs="Arial MT"/>
          <w:b w:val="0"/>
          <w:color w:val="auto"/>
          <w:spacing w:val="0"/>
          <w:sz w:val="24"/>
          <w:lang w:val="en-GB" w:eastAsia="en-GB"/>
        </w:rPr>
        <w:t xml:space="preserve">The Hertfordshire Climate Change and Sustainability Partnership (HCCSP) reviewed available methodologies and identified the </w:t>
      </w:r>
      <w:hyperlink r:id="rId8" w:history="1">
        <w:r w:rsidR="00AB0E2A" w:rsidRPr="000B2D94">
          <w:rPr>
            <w:rStyle w:val="Hyperlink"/>
            <w:rFonts w:eastAsia="Arial MT" w:cs="Arial MT"/>
            <w:b w:val="0"/>
            <w:spacing w:val="0"/>
            <w:sz w:val="24"/>
            <w:lang w:val="en-GB" w:eastAsia="en-GB"/>
          </w:rPr>
          <w:t>Welsh LGA Land and Carbon Sequestration and Storage Guidance</w:t>
        </w:r>
      </w:hyperlink>
      <w:r>
        <w:t xml:space="preserve"> </w:t>
      </w:r>
      <w:r w:rsidR="00AB0E2A" w:rsidRPr="00AB0E2A">
        <w:rPr>
          <w:rFonts w:eastAsia="Arial MT" w:cs="Arial MT"/>
          <w:b w:val="0"/>
          <w:color w:val="auto"/>
          <w:spacing w:val="0"/>
          <w:sz w:val="24"/>
          <w:lang w:val="en-GB" w:eastAsia="en-GB"/>
        </w:rPr>
        <w:t xml:space="preserve">and </w:t>
      </w:r>
      <w:r w:rsidR="00AB0E2A" w:rsidRPr="00CF1766">
        <w:rPr>
          <w:rFonts w:eastAsia="Arial MT" w:cs="Arial MT"/>
          <w:b w:val="0"/>
          <w:color w:val="auto"/>
          <w:spacing w:val="0"/>
          <w:sz w:val="24"/>
          <w:lang w:val="en-GB" w:eastAsia="en-GB"/>
        </w:rPr>
        <w:t xml:space="preserve">Methodology, </w:t>
      </w:r>
      <w:r w:rsidRPr="00CF1766">
        <w:rPr>
          <w:rFonts w:eastAsia="Arial MT" w:cs="Arial MT"/>
          <w:b w:val="0"/>
          <w:color w:val="auto"/>
          <w:spacing w:val="0"/>
          <w:sz w:val="24"/>
          <w:lang w:val="en-GB" w:eastAsia="en-GB"/>
        </w:rPr>
        <w:t>approach as the most credible and proportionate framework available for local authority application. During implementation, however, it became apparent that the carbon factors embedded within the Welsh tool could not be fully traced to publicly available source datasets.</w:t>
      </w:r>
    </w:p>
    <w:p w14:paraId="05B6C528" w14:textId="39C8F224" w:rsidR="00CF1766" w:rsidRPr="00CF1766" w:rsidRDefault="00CF1766" w:rsidP="00CF1766">
      <w:pPr>
        <w:pStyle w:val="Subtitle"/>
        <w:rPr>
          <w:rFonts w:eastAsia="Arial MT" w:cs="Arial MT"/>
          <w:b w:val="0"/>
          <w:color w:val="auto"/>
          <w:spacing w:val="0"/>
          <w:sz w:val="24"/>
          <w:lang w:val="en-GB" w:eastAsia="en-GB"/>
        </w:rPr>
      </w:pPr>
      <w:r w:rsidRPr="00CF1766">
        <w:rPr>
          <w:rFonts w:eastAsia="Arial MT" w:cs="Arial MT"/>
          <w:b w:val="0"/>
          <w:color w:val="auto"/>
          <w:spacing w:val="0"/>
          <w:sz w:val="24"/>
          <w:lang w:val="en-GB" w:eastAsia="en-GB"/>
        </w:rPr>
        <w:t>To provide the transparency and auditability expected of public bodies, HCCSP undertook a detailed technical exercise to independently reconstruct the methodology from primary UK greenhouse gas inventory datasets. The resulting factors were derived from UK Greenhouse Gas Inventory (GHGI)</w:t>
      </w:r>
      <w:r w:rsidR="00862E54">
        <w:rPr>
          <w:rStyle w:val="FootnoteReference"/>
          <w:rFonts w:eastAsia="Arial MT" w:cs="Arial MT"/>
          <w:b w:val="0"/>
          <w:color w:val="auto"/>
          <w:spacing w:val="0"/>
          <w:sz w:val="24"/>
          <w:lang w:val="en-GB" w:eastAsia="en-GB"/>
        </w:rPr>
        <w:footnoteReference w:id="2"/>
      </w:r>
      <w:r w:rsidRPr="00CF1766">
        <w:rPr>
          <w:rFonts w:eastAsia="Arial MT" w:cs="Arial MT"/>
          <w:b w:val="0"/>
          <w:color w:val="auto"/>
          <w:spacing w:val="0"/>
          <w:sz w:val="24"/>
          <w:lang w:val="en-GB" w:eastAsia="en-GB"/>
        </w:rPr>
        <w:t>, United Nations Framework Convention on Climate Change (UNFCCC) Common Reporting Tables and Land Use, Land Use Change and Forestry (LULUCF)</w:t>
      </w:r>
      <w:r w:rsidR="00862E54">
        <w:rPr>
          <w:rStyle w:val="FootnoteReference"/>
          <w:rFonts w:eastAsia="Arial MT" w:cs="Arial MT"/>
          <w:b w:val="0"/>
          <w:color w:val="auto"/>
          <w:spacing w:val="0"/>
          <w:sz w:val="24"/>
          <w:lang w:val="en-GB" w:eastAsia="en-GB"/>
        </w:rPr>
        <w:footnoteReference w:id="3"/>
      </w:r>
      <w:r w:rsidRPr="00CF1766">
        <w:rPr>
          <w:rFonts w:eastAsia="Arial MT" w:cs="Arial MT"/>
          <w:b w:val="0"/>
          <w:color w:val="auto"/>
          <w:spacing w:val="0"/>
          <w:sz w:val="24"/>
          <w:lang w:val="en-GB" w:eastAsia="en-GB"/>
        </w:rPr>
        <w:t xml:space="preserve"> reporting data. Validation against the Welsh methodology demonstrated materially comparable results while providing a complete and transparent audit trail.</w:t>
      </w:r>
    </w:p>
    <w:p w14:paraId="4FB651FE" w14:textId="77777777" w:rsidR="00CF1766" w:rsidRPr="00CF1766" w:rsidRDefault="00CF1766" w:rsidP="00CF1766">
      <w:pPr>
        <w:pStyle w:val="Subtitle"/>
        <w:rPr>
          <w:rFonts w:eastAsia="Arial MT" w:cs="Arial MT"/>
          <w:b w:val="0"/>
          <w:color w:val="auto"/>
          <w:spacing w:val="0"/>
          <w:sz w:val="24"/>
          <w:lang w:val="en-GB" w:eastAsia="en-GB"/>
        </w:rPr>
      </w:pPr>
      <w:r w:rsidRPr="00CF1766">
        <w:rPr>
          <w:rFonts w:eastAsia="Arial MT" w:cs="Arial MT"/>
          <w:b w:val="0"/>
          <w:color w:val="auto"/>
          <w:spacing w:val="0"/>
          <w:sz w:val="24"/>
          <w:lang w:val="en-GB" w:eastAsia="en-GB"/>
        </w:rPr>
        <w:t>This work resulted in the development of the Green Asset Sequestration Tool for Local Authorities (GASTLA), a practical and replicable tool that applies nationally derived sequestration factors to locally mapped habitat and land ownership data.</w:t>
      </w:r>
    </w:p>
    <w:p w14:paraId="20745B89" w14:textId="77777777" w:rsidR="00CF1766" w:rsidRPr="00CF1766" w:rsidRDefault="00CF1766" w:rsidP="00CF1766">
      <w:pPr>
        <w:pStyle w:val="Subtitle"/>
        <w:rPr>
          <w:rFonts w:eastAsia="Arial MT" w:cs="Arial MT"/>
          <w:b w:val="0"/>
          <w:color w:val="auto"/>
          <w:spacing w:val="0"/>
          <w:sz w:val="24"/>
          <w:lang w:val="en-GB" w:eastAsia="en-GB"/>
        </w:rPr>
      </w:pPr>
      <w:r w:rsidRPr="00CF1766">
        <w:rPr>
          <w:rFonts w:eastAsia="Arial MT" w:cs="Arial MT"/>
          <w:b w:val="0"/>
          <w:color w:val="auto"/>
          <w:spacing w:val="0"/>
          <w:sz w:val="24"/>
          <w:lang w:val="en-GB" w:eastAsia="en-GB"/>
        </w:rPr>
        <w:t>This document sets out the principles, governance arrangements and reporting framework that HCCSP recommends local authorities consider when reporting the sequestration value of green assets. The appendices provide the technical rationale, methodological evidence and supporting detail required to demonstrate good governance, transparency and credibility.</w:t>
      </w:r>
    </w:p>
    <w:p w14:paraId="2AE85D94" w14:textId="7D3DA685" w:rsidR="00DB1018" w:rsidRDefault="00CF1766" w:rsidP="00CF1766">
      <w:pPr>
        <w:pStyle w:val="Subtitle"/>
        <w:rPr>
          <w:rFonts w:eastAsia="Arial MT" w:cs="Arial MT"/>
          <w:b w:val="0"/>
          <w:color w:val="auto"/>
          <w:spacing w:val="0"/>
          <w:sz w:val="24"/>
          <w:lang w:val="en-GB" w:eastAsia="en-GB"/>
        </w:rPr>
      </w:pPr>
      <w:r w:rsidRPr="00CF1766">
        <w:rPr>
          <w:rFonts w:eastAsia="Arial MT" w:cs="Arial MT"/>
          <w:b w:val="0"/>
          <w:color w:val="auto"/>
          <w:spacing w:val="0"/>
          <w:sz w:val="24"/>
          <w:lang w:val="en-GB" w:eastAsia="en-GB"/>
        </w:rPr>
        <w:t>The purpose of this methodology is to improve the accuracy of local authority carbon reporting. It does not constitute carbon offsetting and must not be used to justify increased emissions or delay emissions reduction activity.</w:t>
      </w:r>
    </w:p>
    <w:p w14:paraId="412A2C1C" w14:textId="77777777" w:rsidR="00DB1018" w:rsidRDefault="00DB1018">
      <w:pPr>
        <w:spacing w:before="0" w:after="0"/>
        <w:rPr>
          <w:lang w:val="en-GB" w:eastAsia="en-GB"/>
        </w:rPr>
      </w:pPr>
      <w:r>
        <w:rPr>
          <w:b/>
          <w:lang w:val="en-GB" w:eastAsia="en-GB"/>
        </w:rPr>
        <w:br w:type="page"/>
      </w:r>
    </w:p>
    <w:p w14:paraId="14F32FC8" w14:textId="77777777" w:rsidR="00DB1018" w:rsidRDefault="00DB1018">
      <w:pPr>
        <w:spacing w:before="0" w:after="0"/>
        <w:rPr>
          <w:b/>
          <w:lang w:val="en-GB" w:eastAsia="en-GB"/>
        </w:rPr>
      </w:pPr>
    </w:p>
    <w:p w14:paraId="5C41B295" w14:textId="7388FD1C" w:rsidR="00DB1018" w:rsidRDefault="00DB1018">
      <w:pPr>
        <w:spacing w:before="0" w:after="0"/>
        <w:rPr>
          <w:b/>
          <w:lang w:val="en-GB" w:eastAsia="en-GB"/>
        </w:rPr>
      </w:pPr>
      <w:r>
        <w:rPr>
          <w:b/>
          <w:lang w:val="en-GB" w:eastAsia="en-GB"/>
        </w:rPr>
        <w:t>Table of Contents</w:t>
      </w:r>
    </w:p>
    <w:p w14:paraId="16720DD7" w14:textId="77777777" w:rsidR="00DB1018" w:rsidRDefault="00DB1018">
      <w:pPr>
        <w:spacing w:before="0" w:after="0"/>
        <w:rPr>
          <w:b/>
          <w:lang w:val="en-GB" w:eastAsia="en-GB"/>
        </w:rPr>
      </w:pPr>
    </w:p>
    <w:p w14:paraId="5D878B6F" w14:textId="36D25F2E" w:rsidR="00DB1018" w:rsidRDefault="00DB1018">
      <w:pPr>
        <w:pStyle w:val="TOC1"/>
        <w:tabs>
          <w:tab w:val="left" w:pos="480"/>
          <w:tab w:val="right" w:leader="dot" w:pos="9629"/>
        </w:tabs>
        <w:rPr>
          <w:rFonts w:asciiTheme="minorHAnsi" w:eastAsiaTheme="minorEastAsia" w:hAnsiTheme="minorHAnsi" w:cstheme="minorBidi"/>
          <w:noProof/>
          <w:kern w:val="2"/>
          <w:szCs w:val="24"/>
          <w:lang w:val="en-GB" w:eastAsia="en-GB"/>
          <w14:ligatures w14:val="standardContextual"/>
        </w:rPr>
      </w:pPr>
      <w:r>
        <w:rPr>
          <w:b/>
          <w:lang w:val="en-GB" w:eastAsia="en-GB"/>
        </w:rPr>
        <w:fldChar w:fldCharType="begin"/>
      </w:r>
      <w:r>
        <w:rPr>
          <w:b/>
          <w:lang w:val="en-GB" w:eastAsia="en-GB"/>
        </w:rPr>
        <w:instrText xml:space="preserve"> TOC \o "1-1" \h \z \u </w:instrText>
      </w:r>
      <w:r>
        <w:rPr>
          <w:b/>
          <w:lang w:val="en-GB" w:eastAsia="en-GB"/>
        </w:rPr>
        <w:fldChar w:fldCharType="separate"/>
      </w:r>
      <w:hyperlink w:anchor="_Toc231485112" w:history="1">
        <w:r w:rsidRPr="009B498A">
          <w:rPr>
            <w:rStyle w:val="Hyperlink"/>
            <w:noProof/>
          </w:rPr>
          <w:t>1.</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Introduction</w:t>
        </w:r>
        <w:r>
          <w:rPr>
            <w:noProof/>
            <w:webHidden/>
          </w:rPr>
          <w:tab/>
        </w:r>
        <w:r>
          <w:rPr>
            <w:noProof/>
            <w:webHidden/>
          </w:rPr>
          <w:fldChar w:fldCharType="begin"/>
        </w:r>
        <w:r>
          <w:rPr>
            <w:noProof/>
            <w:webHidden/>
          </w:rPr>
          <w:instrText xml:space="preserve"> PAGEREF _Toc231485112 \h </w:instrText>
        </w:r>
        <w:r>
          <w:rPr>
            <w:noProof/>
            <w:webHidden/>
          </w:rPr>
        </w:r>
        <w:r>
          <w:rPr>
            <w:noProof/>
            <w:webHidden/>
          </w:rPr>
          <w:fldChar w:fldCharType="separate"/>
        </w:r>
        <w:r>
          <w:rPr>
            <w:noProof/>
            <w:webHidden/>
          </w:rPr>
          <w:t>3</w:t>
        </w:r>
        <w:r>
          <w:rPr>
            <w:noProof/>
            <w:webHidden/>
          </w:rPr>
          <w:fldChar w:fldCharType="end"/>
        </w:r>
      </w:hyperlink>
    </w:p>
    <w:p w14:paraId="33FD159D" w14:textId="17F1DC84" w:rsidR="00DB1018" w:rsidRDefault="00DB1018">
      <w:pPr>
        <w:pStyle w:val="TOC1"/>
        <w:tabs>
          <w:tab w:val="left" w:pos="48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13" w:history="1">
        <w:r w:rsidRPr="009B498A">
          <w:rPr>
            <w:rStyle w:val="Hyperlink"/>
            <w:noProof/>
          </w:rPr>
          <w:t>2.</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Role of green assets in carbon mitigation</w:t>
        </w:r>
        <w:r>
          <w:rPr>
            <w:noProof/>
            <w:webHidden/>
          </w:rPr>
          <w:tab/>
        </w:r>
        <w:r>
          <w:rPr>
            <w:noProof/>
            <w:webHidden/>
          </w:rPr>
          <w:fldChar w:fldCharType="begin"/>
        </w:r>
        <w:r>
          <w:rPr>
            <w:noProof/>
            <w:webHidden/>
          </w:rPr>
          <w:instrText xml:space="preserve"> PAGEREF _Toc231485113 \h </w:instrText>
        </w:r>
        <w:r>
          <w:rPr>
            <w:noProof/>
            <w:webHidden/>
          </w:rPr>
        </w:r>
        <w:r>
          <w:rPr>
            <w:noProof/>
            <w:webHidden/>
          </w:rPr>
          <w:fldChar w:fldCharType="separate"/>
        </w:r>
        <w:r>
          <w:rPr>
            <w:noProof/>
            <w:webHidden/>
          </w:rPr>
          <w:t>4</w:t>
        </w:r>
        <w:r>
          <w:rPr>
            <w:noProof/>
            <w:webHidden/>
          </w:rPr>
          <w:fldChar w:fldCharType="end"/>
        </w:r>
      </w:hyperlink>
    </w:p>
    <w:p w14:paraId="0F32FE48" w14:textId="48C59566" w:rsidR="00DB1018" w:rsidRDefault="00DB1018">
      <w:pPr>
        <w:pStyle w:val="TOC1"/>
        <w:tabs>
          <w:tab w:val="left" w:pos="48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14" w:history="1">
        <w:r w:rsidRPr="009B498A">
          <w:rPr>
            <w:rStyle w:val="Hyperlink"/>
            <w:noProof/>
          </w:rPr>
          <w:t>3.</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Development of the HCCSP Methodology</w:t>
        </w:r>
        <w:r>
          <w:rPr>
            <w:noProof/>
            <w:webHidden/>
          </w:rPr>
          <w:tab/>
        </w:r>
        <w:r>
          <w:rPr>
            <w:noProof/>
            <w:webHidden/>
          </w:rPr>
          <w:fldChar w:fldCharType="begin"/>
        </w:r>
        <w:r>
          <w:rPr>
            <w:noProof/>
            <w:webHidden/>
          </w:rPr>
          <w:instrText xml:space="preserve"> PAGEREF _Toc231485114 \h </w:instrText>
        </w:r>
        <w:r>
          <w:rPr>
            <w:noProof/>
            <w:webHidden/>
          </w:rPr>
        </w:r>
        <w:r>
          <w:rPr>
            <w:noProof/>
            <w:webHidden/>
          </w:rPr>
          <w:fldChar w:fldCharType="separate"/>
        </w:r>
        <w:r>
          <w:rPr>
            <w:noProof/>
            <w:webHidden/>
          </w:rPr>
          <w:t>5</w:t>
        </w:r>
        <w:r>
          <w:rPr>
            <w:noProof/>
            <w:webHidden/>
          </w:rPr>
          <w:fldChar w:fldCharType="end"/>
        </w:r>
      </w:hyperlink>
    </w:p>
    <w:p w14:paraId="3251C641" w14:textId="505405D1" w:rsidR="00DB1018" w:rsidRDefault="00DB1018">
      <w:pPr>
        <w:pStyle w:val="TOC1"/>
        <w:tabs>
          <w:tab w:val="left" w:pos="48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15" w:history="1">
        <w:r w:rsidRPr="009B498A">
          <w:rPr>
            <w:rStyle w:val="Hyperlink"/>
            <w:noProof/>
          </w:rPr>
          <w:t>4.</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Methodology overview</w:t>
        </w:r>
        <w:r>
          <w:rPr>
            <w:noProof/>
            <w:webHidden/>
          </w:rPr>
          <w:tab/>
        </w:r>
        <w:r>
          <w:rPr>
            <w:noProof/>
            <w:webHidden/>
          </w:rPr>
          <w:fldChar w:fldCharType="begin"/>
        </w:r>
        <w:r>
          <w:rPr>
            <w:noProof/>
            <w:webHidden/>
          </w:rPr>
          <w:instrText xml:space="preserve"> PAGEREF _Toc231485115 \h </w:instrText>
        </w:r>
        <w:r>
          <w:rPr>
            <w:noProof/>
            <w:webHidden/>
          </w:rPr>
        </w:r>
        <w:r>
          <w:rPr>
            <w:noProof/>
            <w:webHidden/>
          </w:rPr>
          <w:fldChar w:fldCharType="separate"/>
        </w:r>
        <w:r>
          <w:rPr>
            <w:noProof/>
            <w:webHidden/>
          </w:rPr>
          <w:t>6</w:t>
        </w:r>
        <w:r>
          <w:rPr>
            <w:noProof/>
            <w:webHidden/>
          </w:rPr>
          <w:fldChar w:fldCharType="end"/>
        </w:r>
      </w:hyperlink>
    </w:p>
    <w:p w14:paraId="062F8B00" w14:textId="5F320680" w:rsidR="00DB1018" w:rsidRDefault="00DB1018">
      <w:pPr>
        <w:pStyle w:val="TOC1"/>
        <w:tabs>
          <w:tab w:val="left" w:pos="48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16" w:history="1">
        <w:r w:rsidRPr="009B498A">
          <w:rPr>
            <w:rStyle w:val="Hyperlink"/>
            <w:noProof/>
          </w:rPr>
          <w:t>5.</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Principles and Governance</w:t>
        </w:r>
        <w:r>
          <w:rPr>
            <w:noProof/>
            <w:webHidden/>
          </w:rPr>
          <w:tab/>
        </w:r>
        <w:r>
          <w:rPr>
            <w:noProof/>
            <w:webHidden/>
          </w:rPr>
          <w:fldChar w:fldCharType="begin"/>
        </w:r>
        <w:r>
          <w:rPr>
            <w:noProof/>
            <w:webHidden/>
          </w:rPr>
          <w:instrText xml:space="preserve"> PAGEREF _Toc231485116 \h </w:instrText>
        </w:r>
        <w:r>
          <w:rPr>
            <w:noProof/>
            <w:webHidden/>
          </w:rPr>
        </w:r>
        <w:r>
          <w:rPr>
            <w:noProof/>
            <w:webHidden/>
          </w:rPr>
          <w:fldChar w:fldCharType="separate"/>
        </w:r>
        <w:r>
          <w:rPr>
            <w:noProof/>
            <w:webHidden/>
          </w:rPr>
          <w:t>7</w:t>
        </w:r>
        <w:r>
          <w:rPr>
            <w:noProof/>
            <w:webHidden/>
          </w:rPr>
          <w:fldChar w:fldCharType="end"/>
        </w:r>
      </w:hyperlink>
    </w:p>
    <w:p w14:paraId="68F43B3D" w14:textId="5FF47E81" w:rsidR="00DB1018" w:rsidRDefault="00DB1018">
      <w:pPr>
        <w:pStyle w:val="TOC1"/>
        <w:tabs>
          <w:tab w:val="left" w:pos="48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17" w:history="1">
        <w:r w:rsidRPr="009B498A">
          <w:rPr>
            <w:rStyle w:val="Hyperlink"/>
            <w:noProof/>
          </w:rPr>
          <w:t>6.</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Reporting and publication</w:t>
        </w:r>
        <w:r>
          <w:rPr>
            <w:noProof/>
            <w:webHidden/>
          </w:rPr>
          <w:tab/>
        </w:r>
        <w:r>
          <w:rPr>
            <w:noProof/>
            <w:webHidden/>
          </w:rPr>
          <w:fldChar w:fldCharType="begin"/>
        </w:r>
        <w:r>
          <w:rPr>
            <w:noProof/>
            <w:webHidden/>
          </w:rPr>
          <w:instrText xml:space="preserve"> PAGEREF _Toc231485117 \h </w:instrText>
        </w:r>
        <w:r>
          <w:rPr>
            <w:noProof/>
            <w:webHidden/>
          </w:rPr>
        </w:r>
        <w:r>
          <w:rPr>
            <w:noProof/>
            <w:webHidden/>
          </w:rPr>
          <w:fldChar w:fldCharType="separate"/>
        </w:r>
        <w:r>
          <w:rPr>
            <w:noProof/>
            <w:webHidden/>
          </w:rPr>
          <w:t>8</w:t>
        </w:r>
        <w:r>
          <w:rPr>
            <w:noProof/>
            <w:webHidden/>
          </w:rPr>
          <w:fldChar w:fldCharType="end"/>
        </w:r>
      </w:hyperlink>
    </w:p>
    <w:p w14:paraId="7C9194DC" w14:textId="1AFC1D46" w:rsidR="00DB1018" w:rsidRDefault="00DB1018">
      <w:pPr>
        <w:pStyle w:val="TOC1"/>
        <w:tabs>
          <w:tab w:val="left" w:pos="48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18" w:history="1">
        <w:r w:rsidRPr="009B498A">
          <w:rPr>
            <w:rStyle w:val="Hyperlink"/>
            <w:noProof/>
          </w:rPr>
          <w:t>7.</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Next Steps</w:t>
        </w:r>
        <w:r>
          <w:rPr>
            <w:noProof/>
            <w:webHidden/>
          </w:rPr>
          <w:tab/>
        </w:r>
        <w:r>
          <w:rPr>
            <w:noProof/>
            <w:webHidden/>
          </w:rPr>
          <w:fldChar w:fldCharType="begin"/>
        </w:r>
        <w:r>
          <w:rPr>
            <w:noProof/>
            <w:webHidden/>
          </w:rPr>
          <w:instrText xml:space="preserve"> PAGEREF _Toc231485118 \h </w:instrText>
        </w:r>
        <w:r>
          <w:rPr>
            <w:noProof/>
            <w:webHidden/>
          </w:rPr>
        </w:r>
        <w:r>
          <w:rPr>
            <w:noProof/>
            <w:webHidden/>
          </w:rPr>
          <w:fldChar w:fldCharType="separate"/>
        </w:r>
        <w:r>
          <w:rPr>
            <w:noProof/>
            <w:webHidden/>
          </w:rPr>
          <w:t>9</w:t>
        </w:r>
        <w:r>
          <w:rPr>
            <w:noProof/>
            <w:webHidden/>
          </w:rPr>
          <w:fldChar w:fldCharType="end"/>
        </w:r>
      </w:hyperlink>
    </w:p>
    <w:p w14:paraId="7808A5DE" w14:textId="5BB8412E" w:rsidR="00DB1018" w:rsidRDefault="00DB1018">
      <w:pPr>
        <w:pStyle w:val="TOC1"/>
        <w:tabs>
          <w:tab w:val="left" w:pos="48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19" w:history="1">
        <w:r w:rsidRPr="009B498A">
          <w:rPr>
            <w:rStyle w:val="Hyperlink"/>
            <w:noProof/>
          </w:rPr>
          <w:t>8.</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Appendix 1: Technical Methodology</w:t>
        </w:r>
        <w:r>
          <w:rPr>
            <w:noProof/>
            <w:webHidden/>
          </w:rPr>
          <w:tab/>
        </w:r>
        <w:r>
          <w:rPr>
            <w:noProof/>
            <w:webHidden/>
          </w:rPr>
          <w:fldChar w:fldCharType="begin"/>
        </w:r>
        <w:r>
          <w:rPr>
            <w:noProof/>
            <w:webHidden/>
          </w:rPr>
          <w:instrText xml:space="preserve"> PAGEREF _Toc231485119 \h </w:instrText>
        </w:r>
        <w:r>
          <w:rPr>
            <w:noProof/>
            <w:webHidden/>
          </w:rPr>
        </w:r>
        <w:r>
          <w:rPr>
            <w:noProof/>
            <w:webHidden/>
          </w:rPr>
          <w:fldChar w:fldCharType="separate"/>
        </w:r>
        <w:r>
          <w:rPr>
            <w:noProof/>
            <w:webHidden/>
          </w:rPr>
          <w:t>10</w:t>
        </w:r>
        <w:r>
          <w:rPr>
            <w:noProof/>
            <w:webHidden/>
          </w:rPr>
          <w:fldChar w:fldCharType="end"/>
        </w:r>
      </w:hyperlink>
    </w:p>
    <w:p w14:paraId="7ED02FDA" w14:textId="6BD64E9F" w:rsidR="00DB1018" w:rsidRDefault="00DB1018">
      <w:pPr>
        <w:pStyle w:val="TOC1"/>
        <w:tabs>
          <w:tab w:val="left" w:pos="48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20" w:history="1">
        <w:r w:rsidRPr="009B498A">
          <w:rPr>
            <w:rStyle w:val="Hyperlink"/>
            <w:noProof/>
          </w:rPr>
          <w:t>9.</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Appendix 2: Data Sources</w:t>
        </w:r>
        <w:r>
          <w:rPr>
            <w:noProof/>
            <w:webHidden/>
          </w:rPr>
          <w:tab/>
        </w:r>
        <w:r>
          <w:rPr>
            <w:noProof/>
            <w:webHidden/>
          </w:rPr>
          <w:fldChar w:fldCharType="begin"/>
        </w:r>
        <w:r>
          <w:rPr>
            <w:noProof/>
            <w:webHidden/>
          </w:rPr>
          <w:instrText xml:space="preserve"> PAGEREF _Toc231485120 \h </w:instrText>
        </w:r>
        <w:r>
          <w:rPr>
            <w:noProof/>
            <w:webHidden/>
          </w:rPr>
        </w:r>
        <w:r>
          <w:rPr>
            <w:noProof/>
            <w:webHidden/>
          </w:rPr>
          <w:fldChar w:fldCharType="separate"/>
        </w:r>
        <w:r>
          <w:rPr>
            <w:noProof/>
            <w:webHidden/>
          </w:rPr>
          <w:t>13</w:t>
        </w:r>
        <w:r>
          <w:rPr>
            <w:noProof/>
            <w:webHidden/>
          </w:rPr>
          <w:fldChar w:fldCharType="end"/>
        </w:r>
      </w:hyperlink>
    </w:p>
    <w:p w14:paraId="13C8C84B" w14:textId="03A3DBB8" w:rsidR="00DB1018" w:rsidRDefault="00DB1018">
      <w:pPr>
        <w:pStyle w:val="TOC1"/>
        <w:tabs>
          <w:tab w:val="left" w:pos="72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21" w:history="1">
        <w:r w:rsidRPr="009B498A">
          <w:rPr>
            <w:rStyle w:val="Hyperlink"/>
            <w:noProof/>
          </w:rPr>
          <w:t>10.</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Appendix 3: Other Methods considered</w:t>
        </w:r>
        <w:r>
          <w:rPr>
            <w:noProof/>
            <w:webHidden/>
          </w:rPr>
          <w:tab/>
        </w:r>
        <w:r>
          <w:rPr>
            <w:noProof/>
            <w:webHidden/>
          </w:rPr>
          <w:fldChar w:fldCharType="begin"/>
        </w:r>
        <w:r>
          <w:rPr>
            <w:noProof/>
            <w:webHidden/>
          </w:rPr>
          <w:instrText xml:space="preserve"> PAGEREF _Toc231485121 \h </w:instrText>
        </w:r>
        <w:r>
          <w:rPr>
            <w:noProof/>
            <w:webHidden/>
          </w:rPr>
        </w:r>
        <w:r>
          <w:rPr>
            <w:noProof/>
            <w:webHidden/>
          </w:rPr>
          <w:fldChar w:fldCharType="separate"/>
        </w:r>
        <w:r>
          <w:rPr>
            <w:noProof/>
            <w:webHidden/>
          </w:rPr>
          <w:t>14</w:t>
        </w:r>
        <w:r>
          <w:rPr>
            <w:noProof/>
            <w:webHidden/>
          </w:rPr>
          <w:fldChar w:fldCharType="end"/>
        </w:r>
      </w:hyperlink>
    </w:p>
    <w:p w14:paraId="18B88FBC" w14:textId="2E490762" w:rsidR="00DB1018" w:rsidRDefault="00DB1018">
      <w:pPr>
        <w:pStyle w:val="TOC1"/>
        <w:tabs>
          <w:tab w:val="left" w:pos="72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22" w:history="1">
        <w:r w:rsidRPr="009B498A">
          <w:rPr>
            <w:rStyle w:val="Hyperlink"/>
            <w:noProof/>
          </w:rPr>
          <w:t>11.</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Appendix 4: Boilerplate / Template</w:t>
        </w:r>
        <w:r>
          <w:rPr>
            <w:noProof/>
            <w:webHidden/>
          </w:rPr>
          <w:tab/>
        </w:r>
        <w:r>
          <w:rPr>
            <w:noProof/>
            <w:webHidden/>
          </w:rPr>
          <w:fldChar w:fldCharType="begin"/>
        </w:r>
        <w:r>
          <w:rPr>
            <w:noProof/>
            <w:webHidden/>
          </w:rPr>
          <w:instrText xml:space="preserve"> PAGEREF _Toc231485122 \h </w:instrText>
        </w:r>
        <w:r>
          <w:rPr>
            <w:noProof/>
            <w:webHidden/>
          </w:rPr>
        </w:r>
        <w:r>
          <w:rPr>
            <w:noProof/>
            <w:webHidden/>
          </w:rPr>
          <w:fldChar w:fldCharType="separate"/>
        </w:r>
        <w:r>
          <w:rPr>
            <w:noProof/>
            <w:webHidden/>
          </w:rPr>
          <w:t>16</w:t>
        </w:r>
        <w:r>
          <w:rPr>
            <w:noProof/>
            <w:webHidden/>
          </w:rPr>
          <w:fldChar w:fldCharType="end"/>
        </w:r>
      </w:hyperlink>
    </w:p>
    <w:p w14:paraId="7B6ED265" w14:textId="01F68742" w:rsidR="00DB1018" w:rsidRDefault="00DB1018">
      <w:pPr>
        <w:pStyle w:val="TOC1"/>
        <w:tabs>
          <w:tab w:val="left" w:pos="72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23" w:history="1">
        <w:r w:rsidRPr="009B498A">
          <w:rPr>
            <w:rStyle w:val="Hyperlink"/>
            <w:noProof/>
          </w:rPr>
          <w:t>12.</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Appendix 5: Governance and Adoption Requirements</w:t>
        </w:r>
        <w:r>
          <w:rPr>
            <w:noProof/>
            <w:webHidden/>
          </w:rPr>
          <w:tab/>
        </w:r>
        <w:r>
          <w:rPr>
            <w:noProof/>
            <w:webHidden/>
          </w:rPr>
          <w:fldChar w:fldCharType="begin"/>
        </w:r>
        <w:r>
          <w:rPr>
            <w:noProof/>
            <w:webHidden/>
          </w:rPr>
          <w:instrText xml:space="preserve"> PAGEREF _Toc231485123 \h </w:instrText>
        </w:r>
        <w:r>
          <w:rPr>
            <w:noProof/>
            <w:webHidden/>
          </w:rPr>
        </w:r>
        <w:r>
          <w:rPr>
            <w:noProof/>
            <w:webHidden/>
          </w:rPr>
          <w:fldChar w:fldCharType="separate"/>
        </w:r>
        <w:r>
          <w:rPr>
            <w:noProof/>
            <w:webHidden/>
          </w:rPr>
          <w:t>18</w:t>
        </w:r>
        <w:r>
          <w:rPr>
            <w:noProof/>
            <w:webHidden/>
          </w:rPr>
          <w:fldChar w:fldCharType="end"/>
        </w:r>
      </w:hyperlink>
    </w:p>
    <w:p w14:paraId="658A683F" w14:textId="101243AD" w:rsidR="00DB1018" w:rsidRDefault="00DB1018">
      <w:pPr>
        <w:pStyle w:val="TOC1"/>
        <w:tabs>
          <w:tab w:val="left" w:pos="72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24" w:history="1">
        <w:r w:rsidRPr="009B498A">
          <w:rPr>
            <w:rStyle w:val="Hyperlink"/>
            <w:noProof/>
          </w:rPr>
          <w:t>13.</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Appendix 6: Assumptions and Liabilities</w:t>
        </w:r>
        <w:r>
          <w:rPr>
            <w:noProof/>
            <w:webHidden/>
          </w:rPr>
          <w:tab/>
        </w:r>
        <w:r>
          <w:rPr>
            <w:noProof/>
            <w:webHidden/>
          </w:rPr>
          <w:fldChar w:fldCharType="begin"/>
        </w:r>
        <w:r>
          <w:rPr>
            <w:noProof/>
            <w:webHidden/>
          </w:rPr>
          <w:instrText xml:space="preserve"> PAGEREF _Toc231485124 \h </w:instrText>
        </w:r>
        <w:r>
          <w:rPr>
            <w:noProof/>
            <w:webHidden/>
          </w:rPr>
        </w:r>
        <w:r>
          <w:rPr>
            <w:noProof/>
            <w:webHidden/>
          </w:rPr>
          <w:fldChar w:fldCharType="separate"/>
        </w:r>
        <w:r>
          <w:rPr>
            <w:noProof/>
            <w:webHidden/>
          </w:rPr>
          <w:t>18</w:t>
        </w:r>
        <w:r>
          <w:rPr>
            <w:noProof/>
            <w:webHidden/>
          </w:rPr>
          <w:fldChar w:fldCharType="end"/>
        </w:r>
      </w:hyperlink>
    </w:p>
    <w:p w14:paraId="09CE26F6" w14:textId="49338DE5" w:rsidR="00DB1018" w:rsidRDefault="00DB1018">
      <w:pPr>
        <w:pStyle w:val="TOC1"/>
        <w:tabs>
          <w:tab w:val="left" w:pos="720"/>
          <w:tab w:val="right" w:leader="dot" w:pos="9629"/>
        </w:tabs>
        <w:rPr>
          <w:rFonts w:asciiTheme="minorHAnsi" w:eastAsiaTheme="minorEastAsia" w:hAnsiTheme="minorHAnsi" w:cstheme="minorBidi"/>
          <w:noProof/>
          <w:kern w:val="2"/>
          <w:szCs w:val="24"/>
          <w:lang w:val="en-GB" w:eastAsia="en-GB"/>
          <w14:ligatures w14:val="standardContextual"/>
        </w:rPr>
      </w:pPr>
      <w:hyperlink w:anchor="_Toc231485125" w:history="1">
        <w:r w:rsidRPr="009B498A">
          <w:rPr>
            <w:rStyle w:val="Hyperlink"/>
            <w:noProof/>
          </w:rPr>
          <w:t>14.</w:t>
        </w:r>
        <w:r>
          <w:rPr>
            <w:rFonts w:asciiTheme="minorHAnsi" w:eastAsiaTheme="minorEastAsia" w:hAnsiTheme="minorHAnsi" w:cstheme="minorBidi"/>
            <w:noProof/>
            <w:kern w:val="2"/>
            <w:szCs w:val="24"/>
            <w:lang w:val="en-GB" w:eastAsia="en-GB"/>
            <w14:ligatures w14:val="standardContextual"/>
          </w:rPr>
          <w:tab/>
        </w:r>
        <w:r w:rsidRPr="009B498A">
          <w:rPr>
            <w:rStyle w:val="Hyperlink"/>
            <w:noProof/>
          </w:rPr>
          <w:t xml:space="preserve">Appendix 7: Glossary </w:t>
        </w:r>
        <w:r>
          <w:rPr>
            <w:noProof/>
            <w:webHidden/>
          </w:rPr>
          <w:tab/>
        </w:r>
        <w:r>
          <w:rPr>
            <w:noProof/>
            <w:webHidden/>
          </w:rPr>
          <w:fldChar w:fldCharType="begin"/>
        </w:r>
        <w:r>
          <w:rPr>
            <w:noProof/>
            <w:webHidden/>
          </w:rPr>
          <w:instrText xml:space="preserve"> PAGEREF _Toc231485125 \h </w:instrText>
        </w:r>
        <w:r>
          <w:rPr>
            <w:noProof/>
            <w:webHidden/>
          </w:rPr>
        </w:r>
        <w:r>
          <w:rPr>
            <w:noProof/>
            <w:webHidden/>
          </w:rPr>
          <w:fldChar w:fldCharType="separate"/>
        </w:r>
        <w:r>
          <w:rPr>
            <w:noProof/>
            <w:webHidden/>
          </w:rPr>
          <w:t>19</w:t>
        </w:r>
        <w:r>
          <w:rPr>
            <w:noProof/>
            <w:webHidden/>
          </w:rPr>
          <w:fldChar w:fldCharType="end"/>
        </w:r>
      </w:hyperlink>
    </w:p>
    <w:p w14:paraId="2C25522C" w14:textId="44B95853" w:rsidR="00DB1018" w:rsidRDefault="00DB1018">
      <w:pPr>
        <w:spacing w:before="0" w:after="0"/>
        <w:rPr>
          <w:b/>
          <w:lang w:val="en-GB" w:eastAsia="en-GB"/>
        </w:rPr>
      </w:pPr>
      <w:r>
        <w:rPr>
          <w:b/>
          <w:lang w:val="en-GB" w:eastAsia="en-GB"/>
        </w:rPr>
        <w:fldChar w:fldCharType="end"/>
      </w:r>
    </w:p>
    <w:p w14:paraId="20306FCC" w14:textId="507CBBE9" w:rsidR="00DB1018" w:rsidRDefault="00DB1018">
      <w:pPr>
        <w:spacing w:before="0" w:after="0"/>
        <w:rPr>
          <w:lang w:val="en-GB" w:eastAsia="en-GB"/>
        </w:rPr>
      </w:pPr>
      <w:r>
        <w:rPr>
          <w:b/>
          <w:lang w:val="en-GB" w:eastAsia="en-GB"/>
        </w:rPr>
        <w:br w:type="page"/>
      </w:r>
    </w:p>
    <w:p w14:paraId="47FF1321" w14:textId="17612E08" w:rsidR="00CF1766" w:rsidRDefault="00CF1766" w:rsidP="00CF1766">
      <w:pPr>
        <w:pStyle w:val="Heading1"/>
      </w:pPr>
      <w:bookmarkStart w:id="1" w:name="_Toc231485112"/>
      <w:r w:rsidRPr="00CF1766">
        <w:t>Introduction</w:t>
      </w:r>
      <w:bookmarkEnd w:id="1"/>
    </w:p>
    <w:p w14:paraId="54430A16" w14:textId="77777777" w:rsidR="009D7727" w:rsidRDefault="009D7727" w:rsidP="009D7727">
      <w:pPr>
        <w:pStyle w:val="Heading2"/>
      </w:pPr>
      <w:r>
        <w:t>Context and background</w:t>
      </w:r>
    </w:p>
    <w:p w14:paraId="7B1285A2" w14:textId="13919D0F" w:rsidR="00CF1766" w:rsidRDefault="00CF1766" w:rsidP="00CF1766">
      <w:pPr>
        <w:spacing w:before="0" w:after="240"/>
        <w:rPr>
          <w:lang w:val="en-GB" w:eastAsia="en-GB"/>
        </w:rPr>
      </w:pPr>
      <w:r w:rsidRPr="00746268">
        <w:rPr>
          <w:lang w:val="en-GB" w:eastAsia="en-GB"/>
        </w:rPr>
        <w:t>L</w:t>
      </w:r>
      <w:r>
        <w:rPr>
          <w:lang w:val="en-GB" w:eastAsia="en-GB"/>
        </w:rPr>
        <w:t>ocal Authorities (“L</w:t>
      </w:r>
      <w:r w:rsidRPr="00746268">
        <w:rPr>
          <w:lang w:val="en-GB" w:eastAsia="en-GB"/>
        </w:rPr>
        <w:t>As</w:t>
      </w:r>
      <w:r>
        <w:rPr>
          <w:lang w:val="en-GB" w:eastAsia="en-GB"/>
        </w:rPr>
        <w:t>”)</w:t>
      </w:r>
      <w:r w:rsidRPr="00746268">
        <w:rPr>
          <w:lang w:val="en-GB" w:eastAsia="en-GB"/>
        </w:rPr>
        <w:t xml:space="preserve"> have committed to reduce their operational carbon emissions and contribute to the national 2050 net zero commitment. </w:t>
      </w:r>
      <w:r>
        <w:rPr>
          <w:lang w:val="en-GB" w:eastAsia="en-GB"/>
        </w:rPr>
        <w:t>Hertfordshire Climate Change &amp; Sustainability Partnership (“</w:t>
      </w:r>
      <w:r w:rsidRPr="00746268">
        <w:rPr>
          <w:lang w:val="en-GB" w:eastAsia="en-GB"/>
        </w:rPr>
        <w:t>HCCSP</w:t>
      </w:r>
      <w:r>
        <w:rPr>
          <w:lang w:val="en-GB" w:eastAsia="en-GB"/>
        </w:rPr>
        <w:t xml:space="preserve">”) </w:t>
      </w:r>
      <w:r w:rsidRPr="00746268">
        <w:rPr>
          <w:lang w:val="en-GB" w:eastAsia="en-GB"/>
        </w:rPr>
        <w:t>approved the Carbon Offset Framework and Template (July</w:t>
      </w:r>
      <w:r>
        <w:rPr>
          <w:lang w:val="en-GB" w:eastAsia="en-GB"/>
        </w:rPr>
        <w:t xml:space="preserve"> 2025</w:t>
      </w:r>
      <w:r w:rsidRPr="00746268">
        <w:rPr>
          <w:lang w:val="en-GB" w:eastAsia="en-GB"/>
        </w:rPr>
        <w:t xml:space="preserve">) and LAs are considering its adoption on each individual authority basis. In that Framework there is reference to the sequestration value of green assets: “The reported carbon emissions may include the measured carbon sequestration achieved by green assets managed on LA-owned land. LAs may explore the use of their green assets when calculating their emissions profile and decarbonisation trajectory.” This Framework is the related document which provides an aligned approach that LAs may use in these calculations. </w:t>
      </w:r>
    </w:p>
    <w:p w14:paraId="36FC6F58" w14:textId="77777777" w:rsidR="00FC279C" w:rsidRDefault="00FC279C" w:rsidP="00FC279C">
      <w:pPr>
        <w:widowControl/>
        <w:autoSpaceDE/>
        <w:autoSpaceDN/>
        <w:spacing w:before="100" w:beforeAutospacing="1" w:after="100" w:afterAutospacing="1"/>
        <w:rPr>
          <w:rFonts w:eastAsia="Times New Roman" w:cs="Arial"/>
          <w:szCs w:val="24"/>
          <w:lang w:val="en-GB" w:eastAsia="en-GB"/>
        </w:rPr>
      </w:pPr>
      <w:r w:rsidRPr="0013724A">
        <w:rPr>
          <w:rFonts w:eastAsia="Times New Roman" w:cs="Arial"/>
          <w:szCs w:val="24"/>
          <w:lang w:val="en-GB" w:eastAsia="en-GB"/>
        </w:rPr>
        <w:t xml:space="preserve">There is currently no regulated standard </w:t>
      </w:r>
      <w:r>
        <w:rPr>
          <w:rFonts w:eastAsia="Times New Roman" w:cs="Arial"/>
          <w:szCs w:val="24"/>
          <w:lang w:val="en-GB" w:eastAsia="en-GB"/>
        </w:rPr>
        <w:t>to</w:t>
      </w:r>
      <w:r w:rsidRPr="0013724A">
        <w:rPr>
          <w:rFonts w:eastAsia="Times New Roman" w:cs="Arial"/>
          <w:szCs w:val="24"/>
          <w:lang w:val="en-GB" w:eastAsia="en-GB"/>
        </w:rPr>
        <w:t xml:space="preserve"> </w:t>
      </w:r>
      <w:r>
        <w:rPr>
          <w:rFonts w:eastAsia="Times New Roman" w:cs="Arial"/>
          <w:szCs w:val="24"/>
          <w:lang w:val="en-GB" w:eastAsia="en-GB"/>
        </w:rPr>
        <w:t>account for sequestration, particularly</w:t>
      </w:r>
      <w:r w:rsidRPr="0013724A">
        <w:rPr>
          <w:rFonts w:eastAsia="Times New Roman" w:cs="Arial"/>
          <w:szCs w:val="24"/>
          <w:lang w:val="en-GB" w:eastAsia="en-GB"/>
        </w:rPr>
        <w:t xml:space="preserve"> for a </w:t>
      </w:r>
      <w:r>
        <w:rPr>
          <w:rFonts w:eastAsia="Times New Roman" w:cs="Arial"/>
          <w:szCs w:val="24"/>
          <w:lang w:val="en-GB" w:eastAsia="en-GB"/>
        </w:rPr>
        <w:t>Local Authority</w:t>
      </w:r>
      <w:r w:rsidRPr="0013724A">
        <w:rPr>
          <w:rFonts w:eastAsia="Times New Roman" w:cs="Arial"/>
          <w:szCs w:val="24"/>
          <w:lang w:val="en-GB" w:eastAsia="en-GB"/>
        </w:rPr>
        <w:t xml:space="preserve">, and nor is there clarity as to the moral or financial merit of </w:t>
      </w:r>
      <w:r>
        <w:rPr>
          <w:rFonts w:eastAsia="Times New Roman" w:cs="Arial"/>
          <w:szCs w:val="24"/>
          <w:lang w:val="en-GB" w:eastAsia="en-GB"/>
        </w:rPr>
        <w:t>calculating and enhancing green assets to maintain or enhance their sequestration potential</w:t>
      </w:r>
      <w:r w:rsidRPr="0013724A">
        <w:rPr>
          <w:rFonts w:eastAsia="Times New Roman" w:cs="Arial"/>
          <w:szCs w:val="24"/>
          <w:lang w:val="en-GB" w:eastAsia="en-GB"/>
        </w:rPr>
        <w:t xml:space="preserve">. </w:t>
      </w:r>
      <w:r>
        <w:rPr>
          <w:rFonts w:eastAsia="Times New Roman" w:cs="Arial"/>
          <w:szCs w:val="24"/>
          <w:lang w:val="en-GB" w:eastAsia="en-GB"/>
        </w:rPr>
        <w:t xml:space="preserve">However, the national commitment is to achieve net zero by 2050 and local authorities own, manage and/or operate green assets alongside their many other responsibilities, despite their maintenance not being statutorily required.  </w:t>
      </w:r>
    </w:p>
    <w:p w14:paraId="5DED5198" w14:textId="2DAC8797" w:rsidR="009D7727" w:rsidRDefault="009D7727" w:rsidP="009D7727">
      <w:pPr>
        <w:pStyle w:val="Heading2"/>
      </w:pPr>
      <w:r>
        <w:t>Sequestration</w:t>
      </w:r>
    </w:p>
    <w:p w14:paraId="24022C0D" w14:textId="77777777" w:rsidR="00CF1766" w:rsidRDefault="00CF1766" w:rsidP="00CF1766">
      <w:pPr>
        <w:pStyle w:val="Subtitle"/>
        <w:rPr>
          <w:rFonts w:eastAsia="Arial MT" w:cs="Arial MT"/>
          <w:b w:val="0"/>
          <w:color w:val="auto"/>
          <w:spacing w:val="0"/>
          <w:sz w:val="24"/>
          <w:lang w:val="en-GB" w:eastAsia="en-GB"/>
        </w:rPr>
      </w:pPr>
      <w:r w:rsidRPr="00CF1766">
        <w:rPr>
          <w:rFonts w:eastAsia="Arial MT" w:cs="Arial MT"/>
          <w:b w:val="0"/>
          <w:color w:val="auto"/>
          <w:spacing w:val="0"/>
          <w:sz w:val="24"/>
          <w:lang w:val="en-GB" w:eastAsia="en-GB"/>
        </w:rPr>
        <w:t>While emissions reduction remains the primary route to achieving these commitments, local authorities also manage significant areas of land that sequester carbon through vegetation, soils and associated ecological processes. These green assets form part of the overall carbon balance associated with local authority operations and land management activities.</w:t>
      </w:r>
    </w:p>
    <w:p w14:paraId="0260ADF7" w14:textId="77777777" w:rsidR="00CF1766" w:rsidRPr="00CF1766" w:rsidRDefault="00CF1766" w:rsidP="00CF1766">
      <w:pPr>
        <w:pStyle w:val="Subtitle"/>
        <w:rPr>
          <w:rFonts w:eastAsia="Arial MT" w:cs="Arial MT"/>
          <w:b w:val="0"/>
          <w:color w:val="auto"/>
          <w:spacing w:val="0"/>
          <w:sz w:val="24"/>
          <w:lang w:val="en-GB" w:eastAsia="en-GB"/>
        </w:rPr>
      </w:pPr>
      <w:r w:rsidRPr="00CF1766">
        <w:rPr>
          <w:rFonts w:eastAsia="Arial MT" w:cs="Arial MT"/>
          <w:b w:val="0"/>
          <w:color w:val="auto"/>
          <w:spacing w:val="0"/>
          <w:sz w:val="24"/>
          <w:lang w:val="en-GB" w:eastAsia="en-GB"/>
        </w:rPr>
        <w:t>As interest in green asset sequestration reporting has increased, so too has the need for a consistent and transparent approach. Without a common methodology, authorities risk applying different assumptions, using incompatible datasets, or reporting sequestration values that cannot be independently verified.</w:t>
      </w:r>
    </w:p>
    <w:p w14:paraId="51FE9BE5" w14:textId="5274AAC3" w:rsidR="00CF1766" w:rsidRDefault="00CF1766" w:rsidP="00FC279C">
      <w:pPr>
        <w:spacing w:after="240"/>
        <w:rPr>
          <w:rFonts w:eastAsia="Times New Roman"/>
          <w:lang w:val="en-GB" w:eastAsia="en-GB"/>
        </w:rPr>
      </w:pPr>
      <w:r w:rsidRPr="00FC279C">
        <w:rPr>
          <w:rFonts w:eastAsia="Times New Roman"/>
          <w:lang w:val="en-GB" w:eastAsia="en-GB"/>
        </w:rPr>
        <w:t xml:space="preserve">This document </w:t>
      </w:r>
      <w:r w:rsidR="00FC279C">
        <w:rPr>
          <w:rFonts w:eastAsia="Times New Roman"/>
          <w:lang w:val="en-GB" w:eastAsia="en-GB"/>
        </w:rPr>
        <w:t>sets out a collective position</w:t>
      </w:r>
      <w:r w:rsidRPr="00FC279C">
        <w:rPr>
          <w:rFonts w:eastAsia="Times New Roman"/>
          <w:lang w:val="en-GB" w:eastAsia="en-GB"/>
        </w:rPr>
        <w:t xml:space="preserve"> for local authorities wishing to quantify and report the sequestration value of green assets. It provides a consistent methodology, governance framework and reporting principles designed to support transparency, comparability and good decision-making</w:t>
      </w:r>
      <w:r w:rsidR="00FC279C">
        <w:rPr>
          <w:rFonts w:eastAsia="Times New Roman"/>
          <w:lang w:val="en-GB" w:eastAsia="en-GB"/>
        </w:rPr>
        <w:t xml:space="preserve">, with </w:t>
      </w:r>
      <w:r w:rsidR="00FC279C" w:rsidRPr="00C64B0E">
        <w:rPr>
          <w:rFonts w:eastAsia="Times New Roman"/>
          <w:lang w:val="en-GB" w:eastAsia="en-GB"/>
        </w:rPr>
        <w:t xml:space="preserve">a template for </w:t>
      </w:r>
      <w:r w:rsidR="00FC279C">
        <w:rPr>
          <w:rFonts w:eastAsia="Times New Roman"/>
          <w:lang w:val="en-GB" w:eastAsia="en-GB"/>
        </w:rPr>
        <w:t>LAs</w:t>
      </w:r>
      <w:r w:rsidR="00FC279C" w:rsidRPr="00C64B0E">
        <w:rPr>
          <w:rFonts w:eastAsia="Times New Roman"/>
          <w:lang w:val="en-GB" w:eastAsia="en-GB"/>
        </w:rPr>
        <w:t xml:space="preserve"> to</w:t>
      </w:r>
      <w:r w:rsidR="00FC279C">
        <w:rPr>
          <w:rFonts w:eastAsia="Times New Roman"/>
          <w:lang w:val="en-GB" w:eastAsia="en-GB"/>
        </w:rPr>
        <w:t xml:space="preserve"> consider</w:t>
      </w:r>
      <w:r w:rsidR="00FC279C" w:rsidRPr="00C64B0E">
        <w:rPr>
          <w:rFonts w:eastAsia="Times New Roman"/>
          <w:lang w:val="en-GB" w:eastAsia="en-GB"/>
        </w:rPr>
        <w:t xml:space="preserve"> adopt</w:t>
      </w:r>
      <w:r w:rsidR="00FC279C">
        <w:rPr>
          <w:rFonts w:eastAsia="Times New Roman"/>
          <w:lang w:val="en-GB" w:eastAsia="en-GB"/>
        </w:rPr>
        <w:t>ing to codify this approach</w:t>
      </w:r>
      <w:r w:rsidR="00FC279C" w:rsidRPr="00C64B0E">
        <w:rPr>
          <w:rFonts w:eastAsia="Times New Roman"/>
          <w:lang w:val="en-GB" w:eastAsia="en-GB"/>
        </w:rPr>
        <w:t>.</w:t>
      </w:r>
      <w:r w:rsidR="00FC279C">
        <w:rPr>
          <w:rFonts w:eastAsia="Times New Roman"/>
          <w:lang w:val="en-GB" w:eastAsia="en-GB"/>
        </w:rPr>
        <w:t xml:space="preserve"> Where land ownership and management differ, responsibility for reporting sequestration should be agreed between parties to avoid duplication. It aligns with national guidance including the UK Climate Change Committee’s (“CCC”) recommendations</w:t>
      </w:r>
      <w:r w:rsidR="00FC279C">
        <w:rPr>
          <w:rStyle w:val="FootnoteReference"/>
          <w:rFonts w:eastAsia="Times New Roman"/>
          <w:lang w:val="en-GB" w:eastAsia="en-GB"/>
        </w:rPr>
        <w:footnoteReference w:id="4"/>
      </w:r>
      <w:r w:rsidR="00FC279C">
        <w:rPr>
          <w:rFonts w:eastAsia="Times New Roman"/>
          <w:lang w:val="en-GB" w:eastAsia="en-GB"/>
        </w:rPr>
        <w:t xml:space="preserve"> and HM Treasury’s Green Book Principles for Environmental Sustainability</w:t>
      </w:r>
      <w:r w:rsidR="00FC279C">
        <w:rPr>
          <w:rStyle w:val="FootnoteReference"/>
          <w:rFonts w:eastAsia="Times New Roman"/>
          <w:lang w:val="en-GB" w:eastAsia="en-GB"/>
        </w:rPr>
        <w:footnoteReference w:id="5"/>
      </w:r>
      <w:r w:rsidR="00FC279C">
        <w:rPr>
          <w:rFonts w:eastAsia="Times New Roman"/>
          <w:lang w:val="en-GB" w:eastAsia="en-GB"/>
        </w:rPr>
        <w:t xml:space="preserve"> and draws heavily on approaches developed by Welsh LGA and Darlington Council</w:t>
      </w:r>
      <w:r w:rsidR="00FC279C">
        <w:rPr>
          <w:rStyle w:val="FootnoteReference"/>
          <w:rFonts w:eastAsia="Times New Roman"/>
          <w:lang w:val="en-GB" w:eastAsia="en-GB"/>
        </w:rPr>
        <w:footnoteReference w:id="6"/>
      </w:r>
      <w:r w:rsidR="00FC279C">
        <w:rPr>
          <w:rFonts w:eastAsia="Times New Roman"/>
          <w:lang w:val="en-GB" w:eastAsia="en-GB"/>
        </w:rPr>
        <w:t xml:space="preserve">. </w:t>
      </w:r>
    </w:p>
    <w:p w14:paraId="5D855616" w14:textId="1070D7BD" w:rsidR="009D7727" w:rsidRPr="00FC279C" w:rsidRDefault="009D7727" w:rsidP="009D7727">
      <w:pPr>
        <w:widowControl/>
        <w:autoSpaceDE/>
        <w:autoSpaceDN/>
        <w:spacing w:before="100" w:beforeAutospacing="1" w:after="100" w:afterAutospacing="1"/>
        <w:rPr>
          <w:bCs/>
          <w:lang w:val="en-GB" w:eastAsia="en-GB"/>
        </w:rPr>
      </w:pPr>
      <w:r w:rsidRPr="00F3175C">
        <w:rPr>
          <w:rFonts w:eastAsia="Times New Roman" w:cstheme="minorHAnsi"/>
          <w:szCs w:val="24"/>
          <w:lang w:eastAsia="en-GB"/>
        </w:rPr>
        <w:t xml:space="preserve">While </w:t>
      </w:r>
      <w:r>
        <w:rPr>
          <w:rFonts w:eastAsia="Times New Roman" w:cstheme="minorHAnsi"/>
          <w:szCs w:val="24"/>
          <w:lang w:eastAsia="en-GB"/>
        </w:rPr>
        <w:t>this</w:t>
      </w:r>
      <w:r w:rsidRPr="00F3175C">
        <w:rPr>
          <w:rFonts w:eastAsia="Times New Roman" w:cstheme="minorHAnsi"/>
          <w:szCs w:val="24"/>
          <w:lang w:eastAsia="en-GB"/>
        </w:rPr>
        <w:t xml:space="preserve"> consistent methodology has been developed, individual authorities are not required to publish or actively use this </w:t>
      </w:r>
      <w:r>
        <w:rPr>
          <w:rFonts w:eastAsia="Times New Roman" w:cstheme="minorHAnsi"/>
          <w:szCs w:val="24"/>
          <w:lang w:eastAsia="en-GB"/>
        </w:rPr>
        <w:t>approach</w:t>
      </w:r>
      <w:r w:rsidRPr="00F3175C">
        <w:rPr>
          <w:rFonts w:eastAsia="Times New Roman" w:cstheme="minorHAnsi"/>
          <w:szCs w:val="24"/>
          <w:lang w:eastAsia="en-GB"/>
        </w:rPr>
        <w:t xml:space="preserve"> if they choose not to. The aim is to provide a fair, transparent, and technically robust approach for those authorities that do wish to include sequestration in their carbon reporting or communication plans.</w:t>
      </w:r>
      <w:r>
        <w:rPr>
          <w:rFonts w:eastAsia="Times New Roman" w:cstheme="minorHAnsi"/>
          <w:szCs w:val="24"/>
          <w:lang w:eastAsia="en-GB"/>
        </w:rPr>
        <w:t xml:space="preserve"> </w:t>
      </w:r>
      <w:r w:rsidRPr="00F3175C">
        <w:rPr>
          <w:rFonts w:eastAsia="Times New Roman" w:cstheme="minorHAnsi"/>
          <w:szCs w:val="24"/>
          <w:lang w:eastAsia="en-GB"/>
        </w:rPr>
        <w:t xml:space="preserve">Agreeing a shared method ensures that, where </w:t>
      </w:r>
      <w:r>
        <w:rPr>
          <w:rFonts w:eastAsia="Times New Roman" w:cstheme="minorHAnsi"/>
          <w:szCs w:val="24"/>
          <w:lang w:eastAsia="en-GB"/>
        </w:rPr>
        <w:t>an approach</w:t>
      </w:r>
      <w:r w:rsidRPr="00F3175C">
        <w:rPr>
          <w:rFonts w:eastAsia="Times New Roman" w:cstheme="minorHAnsi"/>
          <w:szCs w:val="24"/>
          <w:lang w:eastAsia="en-GB"/>
        </w:rPr>
        <w:t xml:space="preserve"> is used, it is applied consistently and comparably across the county. This avoids duplication of effort and supports good governance, regardless of whether LAs take different positions on the use of </w:t>
      </w:r>
      <w:r>
        <w:rPr>
          <w:rFonts w:eastAsia="Times New Roman" w:cstheme="minorHAnsi"/>
          <w:szCs w:val="24"/>
          <w:lang w:eastAsia="en-GB"/>
        </w:rPr>
        <w:t xml:space="preserve">resulting </w:t>
      </w:r>
      <w:r w:rsidRPr="00F3175C">
        <w:rPr>
          <w:rFonts w:eastAsia="Times New Roman" w:cstheme="minorHAnsi"/>
          <w:szCs w:val="24"/>
          <w:lang w:eastAsia="en-GB"/>
        </w:rPr>
        <w:t xml:space="preserve">sequestration data. This also creates a consistent foundation for alignment and adjustment during future local government </w:t>
      </w:r>
      <w:proofErr w:type="spellStart"/>
      <w:r w:rsidRPr="00F3175C">
        <w:rPr>
          <w:rFonts w:eastAsia="Times New Roman" w:cstheme="minorHAnsi"/>
          <w:szCs w:val="24"/>
          <w:lang w:eastAsia="en-GB"/>
        </w:rPr>
        <w:t>reorganisation</w:t>
      </w:r>
      <w:proofErr w:type="spellEnd"/>
      <w:r w:rsidRPr="00F3175C">
        <w:rPr>
          <w:rFonts w:eastAsia="Times New Roman" w:cstheme="minorHAnsi"/>
          <w:szCs w:val="24"/>
          <w:lang w:eastAsia="en-GB"/>
        </w:rPr>
        <w:t>.</w:t>
      </w:r>
    </w:p>
    <w:p w14:paraId="53030773" w14:textId="77777777" w:rsidR="009D7727" w:rsidRDefault="009D7727" w:rsidP="009D7727">
      <w:pPr>
        <w:pStyle w:val="Heading2"/>
      </w:pPr>
      <w:r>
        <w:t>Limitations</w:t>
      </w:r>
    </w:p>
    <w:p w14:paraId="2FAF7EC1" w14:textId="5879C839" w:rsidR="00CF1766" w:rsidRDefault="00FC279C" w:rsidP="00FC279C">
      <w:pPr>
        <w:widowControl/>
        <w:autoSpaceDE/>
        <w:autoSpaceDN/>
        <w:spacing w:before="100" w:beforeAutospacing="1" w:after="100" w:afterAutospacing="1"/>
        <w:rPr>
          <w:bCs/>
          <w:lang w:val="en-GB" w:eastAsia="en-GB"/>
        </w:rPr>
      </w:pPr>
      <w:r w:rsidRPr="00FC279C">
        <w:rPr>
          <w:bCs/>
          <w:lang w:val="en-GB" w:eastAsia="en-GB"/>
        </w:rPr>
        <w:t xml:space="preserve">The methodology is intended for operational carbon reporting and strategic planning purposes. </w:t>
      </w:r>
      <w:r w:rsidRPr="00FC279C">
        <w:rPr>
          <w:rFonts w:eastAsia="Times New Roman" w:cs="Arial"/>
          <w:bCs/>
          <w:szCs w:val="24"/>
          <w:lang w:val="en-GB" w:eastAsia="en-GB"/>
        </w:rPr>
        <w:t xml:space="preserve">This document will not consider aspects of future activity to include vegetation management, land-use change or management, or additional nature-based interventions to address carbon sequestration, storage or nature recovery. </w:t>
      </w:r>
      <w:r>
        <w:rPr>
          <w:bCs/>
          <w:lang w:val="en-GB" w:eastAsia="en-GB"/>
        </w:rPr>
        <w:t>Nor does the methodology</w:t>
      </w:r>
      <w:r w:rsidR="00CF1766" w:rsidRPr="00FC279C">
        <w:rPr>
          <w:bCs/>
          <w:lang w:val="en-GB" w:eastAsia="en-GB"/>
        </w:rPr>
        <w:t xml:space="preserve"> generate carbon credits, create offsetting claims, or provide a basis for avoiding emissions reduction activity.</w:t>
      </w:r>
    </w:p>
    <w:p w14:paraId="6F75455E" w14:textId="77777777" w:rsidR="00FC279C" w:rsidRDefault="00FC279C" w:rsidP="00FC279C">
      <w:pPr>
        <w:pStyle w:val="Heading1"/>
      </w:pPr>
      <w:bookmarkStart w:id="2" w:name="_Toc214461840"/>
      <w:bookmarkStart w:id="3" w:name="_Toc231485113"/>
      <w:r>
        <w:t>Role of green assets in carbon mitigation</w:t>
      </w:r>
      <w:bookmarkEnd w:id="2"/>
      <w:bookmarkEnd w:id="3"/>
    </w:p>
    <w:p w14:paraId="00F31A78" w14:textId="77777777" w:rsidR="00FC279C" w:rsidRDefault="00FC279C" w:rsidP="00FC279C">
      <w:pPr>
        <w:spacing w:after="240"/>
      </w:pPr>
      <w:r>
        <w:t xml:space="preserve">It is well documented that </w:t>
      </w:r>
      <w:r w:rsidRPr="00D80F0B">
        <w:t>vegetation stores carbon via photosynthesis and growth processes</w:t>
      </w:r>
      <w:r>
        <w:t xml:space="preserve">: green spaces have </w:t>
      </w:r>
      <w:r w:rsidRPr="00D80F0B">
        <w:t>unique physiological and ecological properties</w:t>
      </w:r>
      <w:r>
        <w:t xml:space="preserve"> which</w:t>
      </w:r>
      <w:r w:rsidRPr="00D80F0B">
        <w:t xml:space="preserve"> play a major role in offsetting atmospheric CO</w:t>
      </w:r>
      <w:r w:rsidRPr="00D80F0B">
        <w:rPr>
          <w:vertAlign w:val="subscript"/>
        </w:rPr>
        <w:t>2</w:t>
      </w:r>
      <w:r w:rsidRPr="00D80F0B">
        <w:t> concentrations</w:t>
      </w:r>
      <w:r>
        <w:t>.</w:t>
      </w:r>
      <w:r>
        <w:rPr>
          <w:rStyle w:val="FootnoteReference"/>
        </w:rPr>
        <w:footnoteReference w:id="7"/>
      </w:r>
      <w:r>
        <w:t xml:space="preserve"> Put simply, trees and vegetation absorb carbon dioxide from the atmosphere through photosynthesis and store it in their biomass. </w:t>
      </w:r>
    </w:p>
    <w:p w14:paraId="094B0FB1" w14:textId="77777777" w:rsidR="00FC279C" w:rsidRDefault="00FC279C" w:rsidP="00FC279C">
      <w:pPr>
        <w:spacing w:after="240"/>
      </w:pPr>
      <w:proofErr w:type="spellStart"/>
      <w:r>
        <w:t>Kappuswamy</w:t>
      </w:r>
      <w:proofErr w:type="spellEnd"/>
      <w:r>
        <w:t xml:space="preserve"> et al. (2025) note that: ‘Local authorities maintain and plant trees, keep soil exposed on their land, maintain and protect wetlands for various reasons, including health, well-being, biodiversity and for aesthetic purposes. These green assets inherently sequester carbon at varying levels and therefore mitigate emissions, yet their potential for offsets remains underexplored.’</w:t>
      </w:r>
      <w:r>
        <w:rPr>
          <w:rStyle w:val="FootnoteReference"/>
        </w:rPr>
        <w:footnoteReference w:id="8"/>
      </w:r>
    </w:p>
    <w:p w14:paraId="1FA59F38" w14:textId="77777777" w:rsidR="00FC279C" w:rsidRDefault="00FC279C" w:rsidP="00FC279C">
      <w:pPr>
        <w:spacing w:after="240"/>
      </w:pPr>
      <w:r>
        <w:t>This document sets out a shared approach for Hertfordshire LAs to quantify the carbon benefit of green assets, integrating carbon sequestration into land management</w:t>
      </w:r>
      <w:r w:rsidRPr="00F35B26">
        <w:t xml:space="preserve"> </w:t>
      </w:r>
      <w:r>
        <w:t>and</w:t>
      </w:r>
      <w:r w:rsidRPr="00F35B26">
        <w:t xml:space="preserve"> </w:t>
      </w:r>
      <w:r>
        <w:t xml:space="preserve">decision-making processes. </w:t>
      </w:r>
    </w:p>
    <w:p w14:paraId="2FD9E2E0" w14:textId="77777777" w:rsidR="00FC279C" w:rsidRDefault="00FC279C" w:rsidP="00FC279C">
      <w:pPr>
        <w:spacing w:after="240"/>
      </w:pPr>
      <w:r w:rsidRPr="00B0620E">
        <w:t>If</w:t>
      </w:r>
      <w:r>
        <w:t xml:space="preserve"> LAs are</w:t>
      </w:r>
      <w:r w:rsidRPr="00B0620E">
        <w:t xml:space="preserve"> undertaking a new development, dealing with a significant planning application, making substantial changes in land holdings, reviewing use of county farms or planning for forward management of land or coastline, then </w:t>
      </w:r>
      <w:r>
        <w:t xml:space="preserve">it is proposed that they consult the written guidance provided in </w:t>
      </w:r>
      <w:r w:rsidRPr="00D233F5">
        <w:rPr>
          <w:i/>
          <w:iCs/>
        </w:rPr>
        <w:t>Land Use &amp; Carbon Sequestration &amp; Storage: A Guide for Welsh Local Authorities</w:t>
      </w:r>
      <w:r>
        <w:rPr>
          <w:rStyle w:val="FootnoteReference"/>
          <w:i/>
          <w:iCs/>
        </w:rPr>
        <w:footnoteReference w:id="9"/>
      </w:r>
      <w:r>
        <w:t>. The</w:t>
      </w:r>
      <w:r w:rsidRPr="00B0620E">
        <w:t xml:space="preserve"> issues covered </w:t>
      </w:r>
      <w:r>
        <w:t xml:space="preserve">in that </w:t>
      </w:r>
      <w:r w:rsidRPr="00B0620E">
        <w:t>report</w:t>
      </w:r>
      <w:r>
        <w:t xml:space="preserve">, along with a </w:t>
      </w:r>
      <w:r w:rsidRPr="00B0620E">
        <w:t>tool discussed in Section 8</w:t>
      </w:r>
      <w:r>
        <w:t>, may</w:t>
      </w:r>
      <w:r w:rsidRPr="00B0620E">
        <w:t xml:space="preserve"> help staff and members to explore the carbon implications of plans and decisions.</w:t>
      </w:r>
    </w:p>
    <w:p w14:paraId="20FF4E8F" w14:textId="46B9A1DB" w:rsidR="00353CAD" w:rsidRDefault="00CF1766" w:rsidP="00AB0E2A">
      <w:pPr>
        <w:pStyle w:val="Heading1"/>
      </w:pPr>
      <w:bookmarkStart w:id="4" w:name="_Toc231485114"/>
      <w:r>
        <w:t>Development of the HCCSP Methodology</w:t>
      </w:r>
      <w:bookmarkEnd w:id="4"/>
    </w:p>
    <w:p w14:paraId="755E1AF7" w14:textId="388C3500" w:rsidR="00CF1766" w:rsidRPr="00CF1766" w:rsidRDefault="00CF1766" w:rsidP="00CF1766">
      <w:pPr>
        <w:pStyle w:val="Heading2"/>
      </w:pPr>
      <w:r>
        <w:t>Review of existing approaches</w:t>
      </w:r>
    </w:p>
    <w:p w14:paraId="36EAEBB4" w14:textId="43D27565" w:rsidR="00CF1766" w:rsidRDefault="00AB0E2A" w:rsidP="00AB0E2A">
      <w:pPr>
        <w:spacing w:before="0" w:after="240"/>
        <w:rPr>
          <w:lang w:val="en-GB" w:eastAsia="en-GB"/>
        </w:rPr>
      </w:pPr>
      <w:r w:rsidRPr="00AB0E2A">
        <w:rPr>
          <w:lang w:val="en-GB" w:eastAsia="en-GB"/>
        </w:rPr>
        <w:t xml:space="preserve">In the absence of a standardised approach in England, HCCSP reviewed available methodologies </w:t>
      </w:r>
      <w:r w:rsidR="00CF1766">
        <w:rPr>
          <w:lang w:val="en-GB" w:eastAsia="en-GB"/>
        </w:rPr>
        <w:t xml:space="preserve">currently used to assess carbon sequestration from land and green infrastructure. </w:t>
      </w:r>
    </w:p>
    <w:p w14:paraId="24AED515" w14:textId="273D4025" w:rsidR="00CF1766" w:rsidRDefault="00CF1766" w:rsidP="00AB0E2A">
      <w:pPr>
        <w:spacing w:before="0" w:after="240"/>
        <w:rPr>
          <w:lang w:val="en-GB" w:eastAsia="en-GB"/>
        </w:rPr>
      </w:pPr>
      <w:r>
        <w:rPr>
          <w:lang w:val="en-GB" w:eastAsia="en-GB"/>
        </w:rPr>
        <w:t xml:space="preserve">Many available approaches are either highly resource intensive, applicable only to specific asset types or designed for carbon markets rather than local authority carbon reporting. Examples include individual tree assessment </w:t>
      </w:r>
      <w:r w:rsidR="009D7727">
        <w:rPr>
          <w:lang w:val="en-GB" w:eastAsia="en-GB"/>
        </w:rPr>
        <w:t>methodologies</w:t>
      </w:r>
      <w:r>
        <w:rPr>
          <w:lang w:val="en-GB" w:eastAsia="en-GB"/>
        </w:rPr>
        <w:t xml:space="preserve">, bespoke consultancy-led carbon studies or woodland-specific standards. See </w:t>
      </w:r>
      <w:r w:rsidR="00761E69">
        <w:rPr>
          <w:lang w:val="en-GB" w:eastAsia="en-GB"/>
        </w:rPr>
        <w:fldChar w:fldCharType="begin"/>
      </w:r>
      <w:r w:rsidR="00761E69">
        <w:rPr>
          <w:lang w:val="en-GB" w:eastAsia="en-GB"/>
        </w:rPr>
        <w:instrText xml:space="preserve"> REF _Ref231483377 \h </w:instrText>
      </w:r>
      <w:r w:rsidR="00761E69">
        <w:rPr>
          <w:lang w:val="en-GB" w:eastAsia="en-GB"/>
        </w:rPr>
      </w:r>
      <w:r w:rsidR="00761E69">
        <w:rPr>
          <w:lang w:val="en-GB" w:eastAsia="en-GB"/>
        </w:rPr>
        <w:fldChar w:fldCharType="separate"/>
      </w:r>
      <w:r w:rsidR="00761E69">
        <w:t xml:space="preserve">Appendix 3: </w:t>
      </w:r>
      <w:r w:rsidR="00761E69">
        <w:t>Other Methods considered</w:t>
      </w:r>
      <w:r w:rsidR="00761E69">
        <w:rPr>
          <w:lang w:val="en-GB" w:eastAsia="en-GB"/>
        </w:rPr>
        <w:fldChar w:fldCharType="end"/>
      </w:r>
      <w:r w:rsidR="00761E69">
        <w:rPr>
          <w:lang w:val="en-GB" w:eastAsia="en-GB"/>
        </w:rPr>
        <w:t xml:space="preserve"> on page </w:t>
      </w:r>
      <w:r w:rsidR="00761E69">
        <w:rPr>
          <w:lang w:val="en-GB" w:eastAsia="en-GB"/>
        </w:rPr>
        <w:fldChar w:fldCharType="begin"/>
      </w:r>
      <w:r w:rsidR="00761E69">
        <w:rPr>
          <w:lang w:val="en-GB" w:eastAsia="en-GB"/>
        </w:rPr>
        <w:instrText xml:space="preserve"> PAGEREF _Ref231483377 \h </w:instrText>
      </w:r>
      <w:r w:rsidR="00761E69">
        <w:rPr>
          <w:lang w:val="en-GB" w:eastAsia="en-GB"/>
        </w:rPr>
      </w:r>
      <w:r w:rsidR="00761E69">
        <w:rPr>
          <w:lang w:val="en-GB" w:eastAsia="en-GB"/>
        </w:rPr>
        <w:fldChar w:fldCharType="separate"/>
      </w:r>
      <w:r w:rsidR="00761E69">
        <w:rPr>
          <w:noProof/>
          <w:lang w:val="en-GB" w:eastAsia="en-GB"/>
        </w:rPr>
        <w:t>14</w:t>
      </w:r>
      <w:r w:rsidR="00761E69">
        <w:rPr>
          <w:lang w:val="en-GB" w:eastAsia="en-GB"/>
        </w:rPr>
        <w:fldChar w:fldCharType="end"/>
      </w:r>
      <w:r w:rsidR="00761E69">
        <w:rPr>
          <w:lang w:val="en-GB" w:eastAsia="en-GB"/>
        </w:rPr>
        <w:t xml:space="preserve"> </w:t>
      </w:r>
      <w:r>
        <w:rPr>
          <w:lang w:val="en-GB" w:eastAsia="en-GB"/>
        </w:rPr>
        <w:t xml:space="preserve">for more information. </w:t>
      </w:r>
    </w:p>
    <w:p w14:paraId="54215C42" w14:textId="786EBCF4" w:rsidR="00AB0E2A" w:rsidRDefault="00CF1766" w:rsidP="00AB0E2A">
      <w:pPr>
        <w:spacing w:before="0" w:after="240"/>
        <w:rPr>
          <w:lang w:val="en-GB" w:eastAsia="en-GB"/>
        </w:rPr>
      </w:pPr>
      <w:r>
        <w:rPr>
          <w:lang w:val="en-GB" w:eastAsia="en-GB"/>
        </w:rPr>
        <w:t>T</w:t>
      </w:r>
      <w:r w:rsidR="00AB0E2A" w:rsidRPr="00AB0E2A">
        <w:rPr>
          <w:lang w:val="en-GB" w:eastAsia="en-GB"/>
        </w:rPr>
        <w:t xml:space="preserve">he </w:t>
      </w:r>
      <w:hyperlink r:id="rId9" w:history="1">
        <w:r w:rsidR="00AB0E2A" w:rsidRPr="00AB0E2A">
          <w:rPr>
            <w:rStyle w:val="Hyperlink"/>
            <w:lang w:val="en-GB" w:eastAsia="en-GB"/>
          </w:rPr>
          <w:t xml:space="preserve">Welsh LGA </w:t>
        </w:r>
        <w:r w:rsidRPr="009D7727">
          <w:rPr>
            <w:rStyle w:val="Hyperlink"/>
            <w:lang w:val="en-GB" w:eastAsia="en-GB"/>
          </w:rPr>
          <w:t xml:space="preserve">Land </w:t>
        </w:r>
        <w:r w:rsidR="00761E69" w:rsidRPr="009D7727">
          <w:rPr>
            <w:rStyle w:val="Hyperlink"/>
            <w:lang w:val="en-GB" w:eastAsia="en-GB"/>
          </w:rPr>
          <w:t>U</w:t>
        </w:r>
        <w:r w:rsidRPr="009D7727">
          <w:rPr>
            <w:rStyle w:val="Hyperlink"/>
            <w:lang w:val="en-GB" w:eastAsia="en-GB"/>
          </w:rPr>
          <w:t>se and Carbon Sequestration</w:t>
        </w:r>
      </w:hyperlink>
      <w:r w:rsidR="009D7727">
        <w:rPr>
          <w:rStyle w:val="FootnoteReference"/>
          <w:lang w:val="en-GB" w:eastAsia="en-GB"/>
        </w:rPr>
        <w:footnoteReference w:id="10"/>
      </w:r>
      <w:r>
        <w:rPr>
          <w:lang w:val="en-GB" w:eastAsia="en-GB"/>
        </w:rPr>
        <w:t xml:space="preserve"> </w:t>
      </w:r>
      <w:r w:rsidR="00AB0E2A" w:rsidRPr="00AB0E2A">
        <w:rPr>
          <w:lang w:val="en-GB" w:eastAsia="en-GB"/>
        </w:rPr>
        <w:t xml:space="preserve">model </w:t>
      </w:r>
      <w:r>
        <w:rPr>
          <w:lang w:val="en-GB" w:eastAsia="en-GB"/>
        </w:rPr>
        <w:t xml:space="preserve">was identified </w:t>
      </w:r>
      <w:r w:rsidR="00AB0E2A" w:rsidRPr="00AB0E2A">
        <w:rPr>
          <w:lang w:val="en-GB" w:eastAsia="en-GB"/>
        </w:rPr>
        <w:t xml:space="preserve">as the most suitable foundation </w:t>
      </w:r>
      <w:r>
        <w:rPr>
          <w:lang w:val="en-GB" w:eastAsia="en-GB"/>
        </w:rPr>
        <w:t>because it:</w:t>
      </w:r>
    </w:p>
    <w:p w14:paraId="7412F475" w14:textId="56854C9F" w:rsidR="00CF1766" w:rsidRPr="00CF1766" w:rsidRDefault="00CF1766" w:rsidP="00DB1018">
      <w:pPr>
        <w:numPr>
          <w:ilvl w:val="0"/>
          <w:numId w:val="8"/>
        </w:numPr>
        <w:spacing w:before="0" w:after="240"/>
        <w:rPr>
          <w:lang w:val="en-GB" w:eastAsia="en-GB"/>
        </w:rPr>
      </w:pPr>
      <w:r w:rsidRPr="00CF1766">
        <w:rPr>
          <w:lang w:val="en-GB" w:eastAsia="en-GB"/>
        </w:rPr>
        <w:t xml:space="preserve">applies consistently across mixed local authority land </w:t>
      </w:r>
      <w:proofErr w:type="gramStart"/>
      <w:r w:rsidRPr="00CF1766">
        <w:rPr>
          <w:lang w:val="en-GB" w:eastAsia="en-GB"/>
        </w:rPr>
        <w:t>portfolios;</w:t>
      </w:r>
      <w:proofErr w:type="gramEnd"/>
    </w:p>
    <w:p w14:paraId="16392B23" w14:textId="5DC02ED4" w:rsidR="00CF1766" w:rsidRPr="00CF1766" w:rsidRDefault="00CF1766" w:rsidP="00DB1018">
      <w:pPr>
        <w:numPr>
          <w:ilvl w:val="0"/>
          <w:numId w:val="8"/>
        </w:numPr>
        <w:spacing w:before="0" w:after="240"/>
        <w:rPr>
          <w:lang w:val="en-GB" w:eastAsia="en-GB"/>
        </w:rPr>
      </w:pPr>
      <w:r w:rsidRPr="00CF1766">
        <w:rPr>
          <w:lang w:val="en-GB" w:eastAsia="en-GB"/>
        </w:rPr>
        <w:t xml:space="preserve">uses nationally recognised </w:t>
      </w:r>
      <w:proofErr w:type="gramStart"/>
      <w:r w:rsidRPr="00CF1766">
        <w:rPr>
          <w:lang w:val="en-GB" w:eastAsia="en-GB"/>
        </w:rPr>
        <w:t>datasets;</w:t>
      </w:r>
      <w:proofErr w:type="gramEnd"/>
    </w:p>
    <w:p w14:paraId="2A389BAF" w14:textId="2015197F" w:rsidR="00CF1766" w:rsidRPr="00CF1766" w:rsidRDefault="00CF1766" w:rsidP="00DB1018">
      <w:pPr>
        <w:numPr>
          <w:ilvl w:val="0"/>
          <w:numId w:val="8"/>
        </w:numPr>
        <w:spacing w:before="0" w:after="240"/>
        <w:rPr>
          <w:lang w:val="en-GB" w:eastAsia="en-GB"/>
        </w:rPr>
      </w:pPr>
      <w:r w:rsidRPr="00CF1766">
        <w:rPr>
          <w:lang w:val="en-GB" w:eastAsia="en-GB"/>
        </w:rPr>
        <w:t xml:space="preserve">is transparent and </w:t>
      </w:r>
      <w:proofErr w:type="gramStart"/>
      <w:r w:rsidRPr="00CF1766">
        <w:rPr>
          <w:lang w:val="en-GB" w:eastAsia="en-GB"/>
        </w:rPr>
        <w:t>replicable;</w:t>
      </w:r>
      <w:proofErr w:type="gramEnd"/>
    </w:p>
    <w:p w14:paraId="58B9445E" w14:textId="1BD429A2" w:rsidR="00CF1766" w:rsidRPr="00CF1766" w:rsidRDefault="00CF1766" w:rsidP="00DB1018">
      <w:pPr>
        <w:numPr>
          <w:ilvl w:val="0"/>
          <w:numId w:val="8"/>
        </w:numPr>
        <w:spacing w:before="0" w:after="240"/>
        <w:rPr>
          <w:lang w:val="en-GB" w:eastAsia="en-GB"/>
        </w:rPr>
      </w:pPr>
      <w:r w:rsidRPr="00CF1766">
        <w:rPr>
          <w:lang w:val="en-GB" w:eastAsia="en-GB"/>
        </w:rPr>
        <w:t>can be applied without specialist surveys or significant ongoing costs; and</w:t>
      </w:r>
    </w:p>
    <w:p w14:paraId="7BCA237F" w14:textId="61CC431E" w:rsidR="00CF1766" w:rsidRPr="00CF1766" w:rsidRDefault="00CF1766" w:rsidP="00DB1018">
      <w:pPr>
        <w:numPr>
          <w:ilvl w:val="0"/>
          <w:numId w:val="8"/>
        </w:numPr>
        <w:spacing w:before="0" w:after="240"/>
        <w:rPr>
          <w:lang w:val="en-GB" w:eastAsia="en-GB"/>
        </w:rPr>
      </w:pPr>
      <w:r w:rsidRPr="00CF1766">
        <w:rPr>
          <w:lang w:val="en-GB" w:eastAsia="en-GB"/>
        </w:rPr>
        <w:t>enables comparison across authorities.</w:t>
      </w:r>
    </w:p>
    <w:p w14:paraId="302FC438" w14:textId="6D2E19B9" w:rsidR="00CF1766" w:rsidRDefault="00CF1766" w:rsidP="00CF1766">
      <w:pPr>
        <w:pStyle w:val="Heading2"/>
      </w:pPr>
      <w:r>
        <w:t xml:space="preserve">Reconstruction and validation </w:t>
      </w:r>
    </w:p>
    <w:p w14:paraId="0612B687" w14:textId="13E9CF9C" w:rsidR="00CF1766" w:rsidRPr="00CF1766" w:rsidRDefault="00CF1766" w:rsidP="00CF1766">
      <w:pPr>
        <w:spacing w:before="0" w:after="240"/>
        <w:rPr>
          <w:lang w:val="en-GB" w:eastAsia="en-GB"/>
        </w:rPr>
      </w:pPr>
      <w:r>
        <w:rPr>
          <w:lang w:val="en-GB" w:eastAsia="en-GB"/>
        </w:rPr>
        <w:t>To ensure a transparent and auditable evidence base</w:t>
      </w:r>
      <w:r w:rsidRPr="00CF1766">
        <w:rPr>
          <w:lang w:val="en-GB" w:eastAsia="en-GB"/>
        </w:rPr>
        <w:t xml:space="preserve">, </w:t>
      </w:r>
      <w:r>
        <w:rPr>
          <w:lang w:val="en-GB" w:eastAsia="en-GB"/>
        </w:rPr>
        <w:t>HCCSP independently derived the</w:t>
      </w:r>
      <w:r w:rsidRPr="00CF1766">
        <w:rPr>
          <w:lang w:val="en-GB" w:eastAsia="en-GB"/>
        </w:rPr>
        <w:t xml:space="preserve"> carbon factors embedded within the Welsh calculation tool</w:t>
      </w:r>
      <w:r>
        <w:rPr>
          <w:lang w:val="en-GB" w:eastAsia="en-GB"/>
        </w:rPr>
        <w:t xml:space="preserve"> to </w:t>
      </w:r>
      <w:r w:rsidRPr="00CF1766">
        <w:rPr>
          <w:lang w:val="en-GB" w:eastAsia="en-GB"/>
        </w:rPr>
        <w:t>independently derive equivalent sequestration factors from primary source datasets, including:</w:t>
      </w:r>
    </w:p>
    <w:p w14:paraId="16F10494" w14:textId="26448F93" w:rsidR="00CF1766" w:rsidRPr="00CF1766" w:rsidRDefault="00CF1766" w:rsidP="00DB1018">
      <w:pPr>
        <w:numPr>
          <w:ilvl w:val="0"/>
          <w:numId w:val="8"/>
        </w:numPr>
        <w:spacing w:before="0" w:after="240"/>
        <w:rPr>
          <w:lang w:val="en-GB" w:eastAsia="en-GB"/>
        </w:rPr>
      </w:pPr>
      <w:r w:rsidRPr="00CF1766">
        <w:rPr>
          <w:lang w:val="en-GB" w:eastAsia="en-GB"/>
        </w:rPr>
        <w:t>UK Greenhouse Gas Inventory (GHGI)</w:t>
      </w:r>
      <w:r w:rsidR="00862E54">
        <w:rPr>
          <w:rStyle w:val="FootnoteReference"/>
          <w:lang w:val="en-GB" w:eastAsia="en-GB"/>
        </w:rPr>
        <w:footnoteReference w:id="11"/>
      </w:r>
      <w:r w:rsidRPr="00CF1766">
        <w:rPr>
          <w:lang w:val="en-GB" w:eastAsia="en-GB"/>
        </w:rPr>
        <w:t xml:space="preserve"> </w:t>
      </w:r>
      <w:proofErr w:type="gramStart"/>
      <w:r w:rsidRPr="00CF1766">
        <w:rPr>
          <w:lang w:val="en-GB" w:eastAsia="en-GB"/>
        </w:rPr>
        <w:t>publications;</w:t>
      </w:r>
      <w:proofErr w:type="gramEnd"/>
    </w:p>
    <w:p w14:paraId="374969B3" w14:textId="77777777" w:rsidR="00CF1766" w:rsidRPr="00CF1766" w:rsidRDefault="00CF1766" w:rsidP="00DB1018">
      <w:pPr>
        <w:numPr>
          <w:ilvl w:val="0"/>
          <w:numId w:val="8"/>
        </w:numPr>
        <w:spacing w:before="0" w:after="240"/>
        <w:rPr>
          <w:lang w:val="en-GB" w:eastAsia="en-GB"/>
        </w:rPr>
      </w:pPr>
      <w:r w:rsidRPr="00CF1766">
        <w:rPr>
          <w:lang w:val="en-GB" w:eastAsia="en-GB"/>
        </w:rPr>
        <w:t>UNFCCC Common Reporting Tables (CRT</w:t>
      </w:r>
      <w:proofErr w:type="gramStart"/>
      <w:r w:rsidRPr="00CF1766">
        <w:rPr>
          <w:lang w:val="en-GB" w:eastAsia="en-GB"/>
        </w:rPr>
        <w:t>);</w:t>
      </w:r>
      <w:proofErr w:type="gramEnd"/>
    </w:p>
    <w:p w14:paraId="1668B9E4" w14:textId="2A5FC2D7" w:rsidR="00CF1766" w:rsidRPr="00CF1766" w:rsidRDefault="00CF1766" w:rsidP="00DB1018">
      <w:pPr>
        <w:numPr>
          <w:ilvl w:val="0"/>
          <w:numId w:val="8"/>
        </w:numPr>
        <w:spacing w:before="0" w:after="240"/>
        <w:rPr>
          <w:lang w:val="en-GB" w:eastAsia="en-GB"/>
        </w:rPr>
      </w:pPr>
      <w:r w:rsidRPr="00CF1766">
        <w:rPr>
          <w:lang w:val="en-GB" w:eastAsia="en-GB"/>
        </w:rPr>
        <w:t>Land Use, Land Use Change and Forestry (LULUCF)</w:t>
      </w:r>
      <w:r w:rsidR="00862E54">
        <w:rPr>
          <w:rStyle w:val="FootnoteReference"/>
          <w:lang w:val="en-GB" w:eastAsia="en-GB"/>
        </w:rPr>
        <w:footnoteReference w:id="12"/>
      </w:r>
      <w:r w:rsidRPr="00CF1766">
        <w:rPr>
          <w:lang w:val="en-GB" w:eastAsia="en-GB"/>
        </w:rPr>
        <w:t xml:space="preserve"> reporting datasets.</w:t>
      </w:r>
    </w:p>
    <w:p w14:paraId="4AB02CB4" w14:textId="77777777" w:rsidR="00CF1766" w:rsidRPr="00CF1766" w:rsidRDefault="00CF1766" w:rsidP="009D7727">
      <w:pPr>
        <w:pStyle w:val="BodyText"/>
      </w:pPr>
      <w:r w:rsidRPr="00CF1766">
        <w:t>The resulting factors were reconstructed from source data, validated against the Welsh methodology and incorporated into a new reporting tool.</w:t>
      </w:r>
    </w:p>
    <w:p w14:paraId="0AB15D4A" w14:textId="22582720" w:rsidR="00CF1766" w:rsidRPr="00CF1766" w:rsidRDefault="00CF1766" w:rsidP="00CF1766">
      <w:pPr>
        <w:pStyle w:val="Heading2"/>
      </w:pPr>
      <w:r w:rsidRPr="00CF1766">
        <w:t>The Green Asset Sequestration Tool for Local Authorities (GASTLA)</w:t>
      </w:r>
    </w:p>
    <w:p w14:paraId="3532DBC2" w14:textId="77777777" w:rsidR="00CF1766" w:rsidRPr="00CF1766" w:rsidRDefault="00CF1766" w:rsidP="00CF1766">
      <w:pPr>
        <w:spacing w:before="0" w:after="240"/>
        <w:rPr>
          <w:lang w:val="en-GB" w:eastAsia="en-GB"/>
        </w:rPr>
      </w:pPr>
      <w:r w:rsidRPr="00CF1766">
        <w:rPr>
          <w:lang w:val="en-GB" w:eastAsia="en-GB"/>
        </w:rPr>
        <w:t>This work resulted in the development of the Green Asset Sequestration Tool for Local Authorities (GASTLA).</w:t>
      </w:r>
    </w:p>
    <w:p w14:paraId="66635655" w14:textId="77777777" w:rsidR="00CF1766" w:rsidRPr="00CF1766" w:rsidRDefault="00CF1766" w:rsidP="009D7727">
      <w:pPr>
        <w:pStyle w:val="BodyText"/>
      </w:pPr>
      <w:r w:rsidRPr="00CF1766">
        <w:t>GASTLA applies nationally derived carbon stock-change factors to locally mapped habitat data and local authority land ownership information to produce annual sequestration estimates.</w:t>
      </w:r>
    </w:p>
    <w:p w14:paraId="24FD9F77" w14:textId="77777777" w:rsidR="00CF1766" w:rsidRPr="00CF1766" w:rsidRDefault="00CF1766" w:rsidP="009D7727">
      <w:pPr>
        <w:pStyle w:val="BodyText"/>
      </w:pPr>
      <w:r w:rsidRPr="00CF1766">
        <w:t>The tool is intended to provide:</w:t>
      </w:r>
    </w:p>
    <w:p w14:paraId="6AA61163" w14:textId="77777777" w:rsidR="00CF1766" w:rsidRPr="00CF1766" w:rsidRDefault="00CF1766" w:rsidP="00DB1018">
      <w:pPr>
        <w:numPr>
          <w:ilvl w:val="0"/>
          <w:numId w:val="8"/>
        </w:numPr>
        <w:spacing w:before="0" w:after="240"/>
        <w:rPr>
          <w:lang w:val="en-GB" w:eastAsia="en-GB"/>
        </w:rPr>
      </w:pPr>
      <w:r w:rsidRPr="00CF1766">
        <w:rPr>
          <w:lang w:val="en-GB" w:eastAsia="en-GB"/>
        </w:rPr>
        <w:t xml:space="preserve">a transparent and auditable </w:t>
      </w:r>
      <w:proofErr w:type="gramStart"/>
      <w:r w:rsidRPr="00CF1766">
        <w:rPr>
          <w:lang w:val="en-GB" w:eastAsia="en-GB"/>
        </w:rPr>
        <w:t>methodology;</w:t>
      </w:r>
      <w:proofErr w:type="gramEnd"/>
    </w:p>
    <w:p w14:paraId="7FF5E4BE" w14:textId="77777777" w:rsidR="00CF1766" w:rsidRPr="00CF1766" w:rsidRDefault="00CF1766" w:rsidP="00DB1018">
      <w:pPr>
        <w:numPr>
          <w:ilvl w:val="0"/>
          <w:numId w:val="8"/>
        </w:numPr>
        <w:spacing w:before="0" w:after="240"/>
        <w:rPr>
          <w:lang w:val="en-GB" w:eastAsia="en-GB"/>
        </w:rPr>
      </w:pPr>
      <w:r w:rsidRPr="00CF1766">
        <w:rPr>
          <w:lang w:val="en-GB" w:eastAsia="en-GB"/>
        </w:rPr>
        <w:t xml:space="preserve">consistent reporting across </w:t>
      </w:r>
      <w:proofErr w:type="gramStart"/>
      <w:r w:rsidRPr="00CF1766">
        <w:rPr>
          <w:lang w:val="en-GB" w:eastAsia="en-GB"/>
        </w:rPr>
        <w:t>authorities;</w:t>
      </w:r>
      <w:proofErr w:type="gramEnd"/>
    </w:p>
    <w:p w14:paraId="17554ECD" w14:textId="77777777" w:rsidR="00CF1766" w:rsidRPr="00CF1766" w:rsidRDefault="00CF1766" w:rsidP="00DB1018">
      <w:pPr>
        <w:numPr>
          <w:ilvl w:val="0"/>
          <w:numId w:val="8"/>
        </w:numPr>
        <w:spacing w:before="0" w:after="240"/>
        <w:rPr>
          <w:lang w:val="en-GB" w:eastAsia="en-GB"/>
        </w:rPr>
      </w:pPr>
      <w:r w:rsidRPr="00CF1766">
        <w:rPr>
          <w:lang w:val="en-GB" w:eastAsia="en-GB"/>
        </w:rPr>
        <w:t>a proportionate estimate of sequestration at organisational scale; and</w:t>
      </w:r>
    </w:p>
    <w:p w14:paraId="5310B6B5" w14:textId="3EBCD907" w:rsidR="00CF1766" w:rsidRPr="00CF1766" w:rsidRDefault="00CF1766" w:rsidP="00DB1018">
      <w:pPr>
        <w:numPr>
          <w:ilvl w:val="0"/>
          <w:numId w:val="8"/>
        </w:numPr>
        <w:spacing w:before="0" w:after="240"/>
        <w:rPr>
          <w:lang w:val="en-GB" w:eastAsia="en-GB"/>
        </w:rPr>
      </w:pPr>
      <w:r w:rsidRPr="00CF1766">
        <w:rPr>
          <w:lang w:val="en-GB" w:eastAsia="en-GB"/>
        </w:rPr>
        <w:t>a practical approach that can be adopted without significant cost barriers.</w:t>
      </w:r>
    </w:p>
    <w:p w14:paraId="44D07D8A" w14:textId="18FCF5B5" w:rsidR="00192193" w:rsidRPr="003E7356" w:rsidRDefault="00CF1766" w:rsidP="00CF1766">
      <w:pPr>
        <w:pStyle w:val="Heading1"/>
      </w:pPr>
      <w:bookmarkStart w:id="5" w:name="_Toc231485115"/>
      <w:r>
        <w:t>Methodology overview</w:t>
      </w:r>
      <w:bookmarkEnd w:id="5"/>
    </w:p>
    <w:p w14:paraId="1763CD4F" w14:textId="77777777" w:rsidR="00CF1766" w:rsidRPr="00FC279C" w:rsidRDefault="00CF1766" w:rsidP="00FC279C">
      <w:pPr>
        <w:spacing w:before="0" w:after="240"/>
        <w:rPr>
          <w:lang w:val="en-GB" w:eastAsia="en-GB"/>
        </w:rPr>
      </w:pPr>
      <w:r w:rsidRPr="00FC279C">
        <w:rPr>
          <w:lang w:val="en-GB" w:eastAsia="en-GB"/>
        </w:rPr>
        <w:t>The methodology combines habitat mapping, land ownership information and nationally derived sequestration factors to estimate annual greenhouse gas sequestration.</w:t>
      </w:r>
    </w:p>
    <w:p w14:paraId="4E80B5D3" w14:textId="77777777" w:rsidR="00CF1766" w:rsidRPr="00FC279C" w:rsidRDefault="00CF1766" w:rsidP="00FC279C">
      <w:pPr>
        <w:pStyle w:val="Heading2"/>
      </w:pPr>
      <w:r w:rsidRPr="00FC279C">
        <w:t>Habitat classification</w:t>
      </w:r>
    </w:p>
    <w:p w14:paraId="5548C5F7" w14:textId="23A4830D" w:rsidR="00A5746F" w:rsidRPr="00FC279C" w:rsidRDefault="00761E69" w:rsidP="00761E69">
      <w:pPr>
        <w:spacing w:before="0" w:after="240"/>
        <w:rPr>
          <w:lang w:val="en-GB" w:eastAsia="en-GB"/>
        </w:rPr>
      </w:pPr>
      <w:r w:rsidRPr="00761E69">
        <w:rPr>
          <w:lang w:val="en-GB" w:eastAsia="en-GB"/>
        </w:rPr>
        <w:t xml:space="preserve">Biodiversity Baseline polygons: In 2022, HCCSP commissioned WSP to map habitats using the </w:t>
      </w:r>
      <w:proofErr w:type="spellStart"/>
      <w:r w:rsidRPr="00761E69">
        <w:rPr>
          <w:lang w:val="en-GB" w:eastAsia="en-GB"/>
        </w:rPr>
        <w:t>UKHab</w:t>
      </w:r>
      <w:proofErr w:type="spellEnd"/>
      <w:r w:rsidRPr="00761E69">
        <w:rPr>
          <w:lang w:val="en-GB" w:eastAsia="en-GB"/>
        </w:rPr>
        <w:t xml:space="preserve"> classification scheme. The resulting countywide dataset assigns indicative Biodiversity Unity scores to mapped polygons using the Natural England’s calculating Biodiversity Net Gain (BNG) metric. Polygons are classified to </w:t>
      </w:r>
      <w:proofErr w:type="spellStart"/>
      <w:r w:rsidRPr="00761E69">
        <w:rPr>
          <w:lang w:val="en-GB" w:eastAsia="en-GB"/>
        </w:rPr>
        <w:t>UKHab</w:t>
      </w:r>
      <w:proofErr w:type="spellEnd"/>
      <w:r w:rsidRPr="00761E69">
        <w:rPr>
          <w:lang w:val="en-GB" w:eastAsia="en-GB"/>
        </w:rPr>
        <w:t xml:space="preserve"> Levels 3 (standard) and 4 (where available) </w:t>
      </w:r>
      <w:r>
        <w:rPr>
          <w:lang w:val="en-GB" w:eastAsia="en-GB"/>
        </w:rPr>
        <w:t>which align</w:t>
      </w:r>
      <w:r w:rsidR="00CF1766" w:rsidRPr="00FC279C">
        <w:rPr>
          <w:lang w:val="en-GB" w:eastAsia="en-GB"/>
        </w:rPr>
        <w:t xml:space="preserve"> with LULUCF reporting conventions. </w:t>
      </w:r>
    </w:p>
    <w:p w14:paraId="12041A35" w14:textId="3E70ED3F" w:rsidR="00CF1766" w:rsidRPr="00FC279C" w:rsidRDefault="00CF1766" w:rsidP="00FC279C">
      <w:pPr>
        <w:spacing w:before="0" w:after="240"/>
        <w:rPr>
          <w:lang w:val="en-GB" w:eastAsia="en-GB"/>
        </w:rPr>
      </w:pPr>
      <w:r w:rsidRPr="00FC279C">
        <w:rPr>
          <w:lang w:val="en-GB" w:eastAsia="en-GB"/>
        </w:rPr>
        <w:t xml:space="preserve">Land is therefore assigned to one of six categories: </w:t>
      </w:r>
    </w:p>
    <w:p w14:paraId="674453C4" w14:textId="733FF7DC" w:rsidR="00FC279C" w:rsidRPr="00FC279C" w:rsidRDefault="00FC279C" w:rsidP="00DB1018">
      <w:pPr>
        <w:numPr>
          <w:ilvl w:val="0"/>
          <w:numId w:val="8"/>
        </w:numPr>
        <w:spacing w:before="0" w:after="240"/>
        <w:rPr>
          <w:lang w:val="en-GB" w:eastAsia="en-GB"/>
        </w:rPr>
      </w:pPr>
      <w:r w:rsidRPr="00FC279C">
        <w:rPr>
          <w:lang w:val="en-GB" w:eastAsia="en-GB"/>
        </w:rPr>
        <w:t>Forest land</w:t>
      </w:r>
    </w:p>
    <w:p w14:paraId="434E68A9" w14:textId="1A4AB356" w:rsidR="00FC279C" w:rsidRPr="00FC279C" w:rsidRDefault="00FC279C" w:rsidP="00DB1018">
      <w:pPr>
        <w:numPr>
          <w:ilvl w:val="0"/>
          <w:numId w:val="8"/>
        </w:numPr>
        <w:spacing w:before="0" w:after="240"/>
        <w:rPr>
          <w:lang w:val="en-GB" w:eastAsia="en-GB"/>
        </w:rPr>
      </w:pPr>
      <w:r w:rsidRPr="00FC279C">
        <w:rPr>
          <w:lang w:val="en-GB" w:eastAsia="en-GB"/>
        </w:rPr>
        <w:t>Cropland</w:t>
      </w:r>
    </w:p>
    <w:p w14:paraId="3211E8CC" w14:textId="258AE0D3" w:rsidR="00FC279C" w:rsidRPr="00FC279C" w:rsidRDefault="00FC279C" w:rsidP="00DB1018">
      <w:pPr>
        <w:numPr>
          <w:ilvl w:val="0"/>
          <w:numId w:val="8"/>
        </w:numPr>
        <w:spacing w:before="0" w:after="240"/>
        <w:rPr>
          <w:lang w:val="en-GB" w:eastAsia="en-GB"/>
        </w:rPr>
      </w:pPr>
      <w:r w:rsidRPr="00FC279C">
        <w:rPr>
          <w:lang w:val="en-GB" w:eastAsia="en-GB"/>
        </w:rPr>
        <w:t>Grassland</w:t>
      </w:r>
    </w:p>
    <w:p w14:paraId="741CA5EF" w14:textId="24826C57" w:rsidR="00FC279C" w:rsidRPr="00FC279C" w:rsidRDefault="00FC279C" w:rsidP="00DB1018">
      <w:pPr>
        <w:numPr>
          <w:ilvl w:val="0"/>
          <w:numId w:val="8"/>
        </w:numPr>
        <w:spacing w:before="0" w:after="240"/>
        <w:rPr>
          <w:lang w:val="en-GB" w:eastAsia="en-GB"/>
        </w:rPr>
      </w:pPr>
      <w:r w:rsidRPr="00FC279C">
        <w:rPr>
          <w:lang w:val="en-GB" w:eastAsia="en-GB"/>
        </w:rPr>
        <w:t>Wetlands</w:t>
      </w:r>
    </w:p>
    <w:p w14:paraId="0A16BB23" w14:textId="476CA318" w:rsidR="00FC279C" w:rsidRPr="00FC279C" w:rsidRDefault="00FC279C" w:rsidP="00DB1018">
      <w:pPr>
        <w:numPr>
          <w:ilvl w:val="0"/>
          <w:numId w:val="8"/>
        </w:numPr>
        <w:spacing w:before="0" w:after="240"/>
        <w:rPr>
          <w:lang w:val="en-GB" w:eastAsia="en-GB"/>
        </w:rPr>
      </w:pPr>
      <w:r w:rsidRPr="00FC279C">
        <w:rPr>
          <w:lang w:val="en-GB" w:eastAsia="en-GB"/>
        </w:rPr>
        <w:t>Settlements</w:t>
      </w:r>
    </w:p>
    <w:p w14:paraId="768AEEA6" w14:textId="4297666F" w:rsidR="00CF1766" w:rsidRPr="00FC279C" w:rsidRDefault="00FC279C" w:rsidP="00DB1018">
      <w:pPr>
        <w:numPr>
          <w:ilvl w:val="0"/>
          <w:numId w:val="8"/>
        </w:numPr>
        <w:spacing w:before="0" w:after="240"/>
        <w:rPr>
          <w:lang w:val="en-GB" w:eastAsia="en-GB"/>
        </w:rPr>
      </w:pPr>
      <w:r w:rsidRPr="00FC279C">
        <w:rPr>
          <w:lang w:val="en-GB" w:eastAsia="en-GB"/>
        </w:rPr>
        <w:t>Other land</w:t>
      </w:r>
    </w:p>
    <w:p w14:paraId="3378B405" w14:textId="03B83610" w:rsidR="0090710D" w:rsidRDefault="00FC279C" w:rsidP="00FC279C">
      <w:pPr>
        <w:pStyle w:val="Heading2"/>
      </w:pPr>
      <w:r>
        <w:t xml:space="preserve">Land ownership and management </w:t>
      </w:r>
    </w:p>
    <w:p w14:paraId="116CAAF0" w14:textId="3EDDA1AB" w:rsidR="00761E69" w:rsidRPr="00761E69" w:rsidRDefault="00761E69" w:rsidP="009D7727">
      <w:pPr>
        <w:pStyle w:val="BodyText"/>
      </w:pPr>
      <w:r w:rsidRPr="00761E69">
        <w:t xml:space="preserve">Habitat polygons are spatially matched </w:t>
      </w:r>
      <w:r w:rsidR="009D7727">
        <w:t xml:space="preserve">(in Hertfordshire, this is progressed </w:t>
      </w:r>
      <w:r w:rsidRPr="00761E69">
        <w:t>by HCC GIS teams</w:t>
      </w:r>
      <w:r w:rsidR="009D7727">
        <w:t xml:space="preserve"> using data supplied by individual authorities) </w:t>
      </w:r>
      <w:r w:rsidRPr="00761E69">
        <w:t>against land ownership or management data.</w:t>
      </w:r>
      <w:r>
        <w:t xml:space="preserve"> This process provides a figure in hectares of land ownership (or management), segmented by land-use categories. </w:t>
      </w:r>
    </w:p>
    <w:p w14:paraId="10E673C9" w14:textId="77777777" w:rsidR="00761E69" w:rsidRPr="00761E69" w:rsidRDefault="00761E69" w:rsidP="009D7727">
      <w:pPr>
        <w:pStyle w:val="BodyText"/>
      </w:pPr>
      <w:r w:rsidRPr="00761E69">
        <w:t>Only one organisation may report sequestration from any asset.</w:t>
      </w:r>
    </w:p>
    <w:p w14:paraId="73F49B24" w14:textId="77777777" w:rsidR="00761E69" w:rsidRPr="00761E69" w:rsidRDefault="00761E69" w:rsidP="009D7727">
      <w:pPr>
        <w:pStyle w:val="BodyText"/>
      </w:pPr>
      <w:r w:rsidRPr="00761E69">
        <w:t>The default position is that the organisation exercising operational control over the asset reports the sequestration value. Where ownership and management differ, the reporting authority should be agreed and documented.</w:t>
      </w:r>
    </w:p>
    <w:p w14:paraId="217CDBEB" w14:textId="222DD766" w:rsidR="00761E69" w:rsidRPr="00761E69" w:rsidRDefault="00761E69" w:rsidP="00761E69">
      <w:pPr>
        <w:pStyle w:val="Heading2"/>
      </w:pPr>
      <w:r w:rsidRPr="00761E69">
        <w:t>Carbon Calculations</w:t>
      </w:r>
    </w:p>
    <w:p w14:paraId="4E0D9B0A" w14:textId="13DB8F49" w:rsidR="00761E69" w:rsidRPr="00761E69" w:rsidRDefault="00761E69" w:rsidP="009D7727">
      <w:pPr>
        <w:pStyle w:val="BodyText"/>
      </w:pPr>
      <w:r>
        <w:t xml:space="preserve">Using the tool to complete a hectarage and land-use category (and soil type) row, the </w:t>
      </w:r>
      <w:r w:rsidRPr="00761E69">
        <w:t xml:space="preserve">habitat category </w:t>
      </w:r>
      <w:r>
        <w:t>selects the correct</w:t>
      </w:r>
      <w:r w:rsidRPr="00761E69">
        <w:t xml:space="preserve"> carbon stock-change factor derived from UK inventory data.</w:t>
      </w:r>
    </w:p>
    <w:p w14:paraId="7B01B236" w14:textId="0B15B774" w:rsidR="00761E69" w:rsidRPr="00761E69" w:rsidRDefault="00761E69" w:rsidP="009D7727">
      <w:pPr>
        <w:pStyle w:val="BodyText"/>
      </w:pPr>
      <w:r w:rsidRPr="00761E69">
        <w:t>Annual sequestration figures are calculated on a net basis</w:t>
      </w:r>
      <w:r>
        <w:t xml:space="preserve"> and provided at the right of the table</w:t>
      </w:r>
      <w:r w:rsidRPr="00761E69">
        <w:t>.</w:t>
      </w:r>
    </w:p>
    <w:p w14:paraId="0B1EAAD2" w14:textId="77777777" w:rsidR="00761E69" w:rsidRPr="00761E69" w:rsidRDefault="00761E69" w:rsidP="009D7727">
      <w:pPr>
        <w:pStyle w:val="BodyText"/>
      </w:pPr>
      <w:r w:rsidRPr="00761E69">
        <w:t>For the purposes of this methodology:</w:t>
      </w:r>
    </w:p>
    <w:p w14:paraId="328BEEAA" w14:textId="77777777" w:rsidR="00761E69" w:rsidRPr="00761E69" w:rsidRDefault="00761E69" w:rsidP="00DB1018">
      <w:pPr>
        <w:numPr>
          <w:ilvl w:val="0"/>
          <w:numId w:val="8"/>
        </w:numPr>
        <w:spacing w:before="0" w:after="240"/>
        <w:rPr>
          <w:lang w:val="en-GB" w:eastAsia="en-GB"/>
        </w:rPr>
      </w:pPr>
      <w:r w:rsidRPr="00761E69">
        <w:rPr>
          <w:lang w:val="en-GB" w:eastAsia="en-GB"/>
        </w:rPr>
        <w:t>Gross sequestration refers to total carbon absorbed by vegetation.</w:t>
      </w:r>
    </w:p>
    <w:p w14:paraId="3D4FC853" w14:textId="77777777" w:rsidR="00761E69" w:rsidRPr="00761E69" w:rsidRDefault="00761E69" w:rsidP="00DB1018">
      <w:pPr>
        <w:numPr>
          <w:ilvl w:val="0"/>
          <w:numId w:val="8"/>
        </w:numPr>
        <w:spacing w:before="0" w:after="240"/>
        <w:rPr>
          <w:lang w:val="en-GB" w:eastAsia="en-GB"/>
        </w:rPr>
      </w:pPr>
      <w:r w:rsidRPr="00761E69">
        <w:rPr>
          <w:lang w:val="en-GB" w:eastAsia="en-GB"/>
        </w:rPr>
        <w:t>Net sequestration refers to carbon absorbed after accounting for natural emissions from decomposition and related processes.</w:t>
      </w:r>
    </w:p>
    <w:p w14:paraId="38C4E674" w14:textId="77777777" w:rsidR="00761E69" w:rsidRPr="00761E69" w:rsidRDefault="00761E69" w:rsidP="00761E69">
      <w:pPr>
        <w:spacing w:before="0" w:after="240"/>
        <w:rPr>
          <w:lang w:val="en-GB" w:eastAsia="en-GB"/>
        </w:rPr>
      </w:pPr>
      <w:r w:rsidRPr="00761E69">
        <w:rPr>
          <w:lang w:val="en-GB" w:eastAsia="en-GB"/>
        </w:rPr>
        <w:t>The methodology uses net sequestration factors and therefore requires no further adjustment.</w:t>
      </w:r>
    </w:p>
    <w:p w14:paraId="74C9C2DC" w14:textId="6DCF225A" w:rsidR="00761E69" w:rsidRPr="00761E69" w:rsidRDefault="00761E69" w:rsidP="00761E69">
      <w:pPr>
        <w:pStyle w:val="Heading2"/>
      </w:pPr>
      <w:r w:rsidRPr="00761E69">
        <w:t>Limitations</w:t>
      </w:r>
    </w:p>
    <w:p w14:paraId="2F862669" w14:textId="46629589" w:rsidR="00761E69" w:rsidRPr="00761E69" w:rsidRDefault="00761E69" w:rsidP="00761E69">
      <w:pPr>
        <w:rPr>
          <w:lang w:val="en-GB" w:eastAsia="en-GB"/>
        </w:rPr>
      </w:pPr>
      <w:r w:rsidRPr="00761E69">
        <w:rPr>
          <w:lang w:val="en-GB" w:eastAsia="en-GB"/>
        </w:rPr>
        <w:t>The methodology is designed for strategic reporting rather than site-specific assessment.</w:t>
      </w:r>
      <w:r w:rsidR="009D7727">
        <w:rPr>
          <w:lang w:val="en-GB" w:eastAsia="en-GB"/>
        </w:rPr>
        <w:t xml:space="preserve"> </w:t>
      </w:r>
      <w:r w:rsidRPr="00761E69">
        <w:rPr>
          <w:lang w:val="en-GB" w:eastAsia="en-GB"/>
        </w:rPr>
        <w:t>It:</w:t>
      </w:r>
    </w:p>
    <w:p w14:paraId="487C622F" w14:textId="77777777" w:rsidR="00761E69" w:rsidRPr="00761E69" w:rsidRDefault="00761E69" w:rsidP="00DB1018">
      <w:pPr>
        <w:numPr>
          <w:ilvl w:val="0"/>
          <w:numId w:val="8"/>
        </w:numPr>
        <w:spacing w:before="0" w:after="240"/>
        <w:rPr>
          <w:lang w:val="en-GB" w:eastAsia="en-GB"/>
        </w:rPr>
      </w:pPr>
      <w:r w:rsidRPr="00761E69">
        <w:rPr>
          <w:lang w:val="en-GB" w:eastAsia="en-GB"/>
        </w:rPr>
        <w:t xml:space="preserve">uses national average </w:t>
      </w:r>
      <w:proofErr w:type="gramStart"/>
      <w:r w:rsidRPr="00761E69">
        <w:rPr>
          <w:lang w:val="en-GB" w:eastAsia="en-GB"/>
        </w:rPr>
        <w:t>factors;</w:t>
      </w:r>
      <w:proofErr w:type="gramEnd"/>
    </w:p>
    <w:p w14:paraId="66CF8F52" w14:textId="77777777" w:rsidR="00761E69" w:rsidRPr="00761E69" w:rsidRDefault="00761E69" w:rsidP="00DB1018">
      <w:pPr>
        <w:numPr>
          <w:ilvl w:val="0"/>
          <w:numId w:val="8"/>
        </w:numPr>
        <w:spacing w:before="0" w:after="240"/>
        <w:rPr>
          <w:lang w:val="en-GB" w:eastAsia="en-GB"/>
        </w:rPr>
      </w:pPr>
      <w:r w:rsidRPr="00761E69">
        <w:rPr>
          <w:lang w:val="en-GB" w:eastAsia="en-GB"/>
        </w:rPr>
        <w:t xml:space="preserve">does not reflect species composition, planting density or detailed management </w:t>
      </w:r>
      <w:proofErr w:type="gramStart"/>
      <w:r w:rsidRPr="00761E69">
        <w:rPr>
          <w:lang w:val="en-GB" w:eastAsia="en-GB"/>
        </w:rPr>
        <w:t>practices;</w:t>
      </w:r>
      <w:proofErr w:type="gramEnd"/>
    </w:p>
    <w:p w14:paraId="43BA2C5B" w14:textId="77777777" w:rsidR="00761E69" w:rsidRPr="00761E69" w:rsidRDefault="00761E69" w:rsidP="00DB1018">
      <w:pPr>
        <w:numPr>
          <w:ilvl w:val="0"/>
          <w:numId w:val="8"/>
        </w:numPr>
        <w:spacing w:before="0" w:after="240"/>
        <w:rPr>
          <w:lang w:val="en-GB" w:eastAsia="en-GB"/>
        </w:rPr>
      </w:pPr>
      <w:r w:rsidRPr="00761E69">
        <w:rPr>
          <w:lang w:val="en-GB" w:eastAsia="en-GB"/>
        </w:rPr>
        <w:t>may not capture the benefits of small-scale interventions; and</w:t>
      </w:r>
    </w:p>
    <w:p w14:paraId="58448AA8" w14:textId="77777777" w:rsidR="00761E69" w:rsidRPr="00761E69" w:rsidRDefault="00761E69" w:rsidP="00DB1018">
      <w:pPr>
        <w:numPr>
          <w:ilvl w:val="0"/>
          <w:numId w:val="8"/>
        </w:numPr>
        <w:spacing w:before="0" w:after="240"/>
        <w:rPr>
          <w:lang w:val="en-GB" w:eastAsia="en-GB"/>
        </w:rPr>
      </w:pPr>
      <w:r w:rsidRPr="00761E69">
        <w:rPr>
          <w:lang w:val="en-GB" w:eastAsia="en-GB"/>
        </w:rPr>
        <w:t>should be interpreted as a prudent estimate rather than a precise measurement.</w:t>
      </w:r>
    </w:p>
    <w:p w14:paraId="79A34F8B" w14:textId="740B06A2" w:rsidR="00761E69" w:rsidRPr="00761E69" w:rsidRDefault="00761E69" w:rsidP="00761E69">
      <w:pPr>
        <w:pStyle w:val="Heading1"/>
      </w:pPr>
      <w:bookmarkStart w:id="6" w:name="_Toc231485116"/>
      <w:r w:rsidRPr="00761E69">
        <w:t>Principles and Governance</w:t>
      </w:r>
      <w:bookmarkEnd w:id="6"/>
    </w:p>
    <w:p w14:paraId="092F8827" w14:textId="77777777" w:rsidR="00761E69" w:rsidRPr="00761E69" w:rsidRDefault="00761E69" w:rsidP="00761E69">
      <w:pPr>
        <w:rPr>
          <w:lang w:val="en-GB" w:eastAsia="en-GB"/>
        </w:rPr>
      </w:pPr>
      <w:r w:rsidRPr="00761E69">
        <w:rPr>
          <w:lang w:val="en-GB" w:eastAsia="en-GB"/>
        </w:rPr>
        <w:t>Authorities choosing to adopt this methodology should apply the following principles.</w:t>
      </w:r>
    </w:p>
    <w:p w14:paraId="535EDEB9" w14:textId="5FFF9823" w:rsidR="003E2FFD" w:rsidRDefault="00761E69" w:rsidP="00DB1018">
      <w:pPr>
        <w:pStyle w:val="ListParagraph"/>
        <w:numPr>
          <w:ilvl w:val="0"/>
          <w:numId w:val="6"/>
        </w:numPr>
        <w:spacing w:before="0" w:after="240"/>
      </w:pPr>
      <w:bookmarkStart w:id="7" w:name="_Toc194423738"/>
      <w:bookmarkStart w:id="8" w:name="_Toc194423739"/>
      <w:bookmarkEnd w:id="7"/>
      <w:bookmarkEnd w:id="8"/>
      <w:r>
        <w:rPr>
          <w:b/>
          <w:bCs/>
        </w:rPr>
        <w:t xml:space="preserve">Emissions reduction first: </w:t>
      </w:r>
      <w:r w:rsidR="00343B22" w:rsidRPr="009D7727">
        <w:t>LAs should not use sequestration values to justify increased emissions elsewhere or delay decarbonisation efforts</w:t>
      </w:r>
      <w:r w:rsidR="009D7727" w:rsidRPr="009D7727">
        <w:t>.</w:t>
      </w:r>
      <w:r w:rsidR="00343B22" w:rsidRPr="009D7727">
        <w:t xml:space="preserve"> This framework </w:t>
      </w:r>
      <w:r w:rsidR="005945DB" w:rsidRPr="009D7727">
        <w:t xml:space="preserve">is intended to establish </w:t>
      </w:r>
      <w:r w:rsidR="00343B22" w:rsidRPr="009D7727">
        <w:t xml:space="preserve">a baseline sequestration value for </w:t>
      </w:r>
      <w:r w:rsidR="005945DB" w:rsidRPr="009D7727">
        <w:t>each</w:t>
      </w:r>
      <w:r w:rsidR="005945DB">
        <w:t xml:space="preserve"> authority’s land portfolio</w:t>
      </w:r>
      <w:r w:rsidR="00343B22">
        <w:t xml:space="preserve">, </w:t>
      </w:r>
      <w:r w:rsidR="005945DB">
        <w:t xml:space="preserve">providing </w:t>
      </w:r>
      <w:r w:rsidR="00343B22">
        <w:t xml:space="preserve">a realistic and robust figure of the </w:t>
      </w:r>
      <w:r w:rsidR="005945DB">
        <w:t xml:space="preserve">overall </w:t>
      </w:r>
      <w:r w:rsidR="00343B22">
        <w:t xml:space="preserve">carbon balance. </w:t>
      </w:r>
      <w:r w:rsidR="005945DB">
        <w:t xml:space="preserve">Establishing this </w:t>
      </w:r>
      <w:r w:rsidR="00343B22">
        <w:t xml:space="preserve">baseline figure </w:t>
      </w:r>
      <w:r w:rsidR="005945DB">
        <w:t xml:space="preserve">must </w:t>
      </w:r>
      <w:r w:rsidR="00343B22">
        <w:t xml:space="preserve">not be at the expense of mitigation efforts. </w:t>
      </w:r>
    </w:p>
    <w:p w14:paraId="54F10CDC" w14:textId="2C7D371E" w:rsidR="009D7727" w:rsidRPr="003E2FFD" w:rsidRDefault="009D7727" w:rsidP="00DB1018">
      <w:pPr>
        <w:pStyle w:val="ListParagraph"/>
        <w:numPr>
          <w:ilvl w:val="0"/>
          <w:numId w:val="6"/>
        </w:numPr>
        <w:spacing w:before="0" w:after="240"/>
        <w:rPr>
          <w:lang w:val="en-GB"/>
        </w:rPr>
      </w:pPr>
      <w:r>
        <w:rPr>
          <w:b/>
          <w:bCs/>
        </w:rPr>
        <w:t xml:space="preserve">Transparency: </w:t>
      </w:r>
      <w:r>
        <w:t>All calculations, assumptions and data sources should be openly documented and available for review</w:t>
      </w:r>
      <w:r w:rsidR="00343B22" w:rsidRPr="009D7727">
        <w:t xml:space="preserve">. </w:t>
      </w:r>
      <w:bookmarkStart w:id="9" w:name="_Ref199516878"/>
      <w:r w:rsidRPr="00741B93">
        <w:t xml:space="preserve">Annual </w:t>
      </w:r>
      <w:r>
        <w:t>sequestration figures</w:t>
      </w:r>
      <w:r w:rsidRPr="00741B93">
        <w:t xml:space="preserve"> will be </w:t>
      </w:r>
      <w:r>
        <w:t xml:space="preserve">calculated on a </w:t>
      </w:r>
      <w:r w:rsidRPr="003E2FFD">
        <w:rPr>
          <w:b/>
          <w:bCs/>
          <w:i/>
          <w:iCs/>
          <w:lang w:eastAsia="en-GB"/>
        </w:rPr>
        <w:t xml:space="preserve">net </w:t>
      </w:r>
      <w:r w:rsidRPr="00F049F5">
        <w:rPr>
          <w:lang w:eastAsia="en-GB"/>
        </w:rPr>
        <w:t>basis</w:t>
      </w:r>
      <w:r>
        <w:rPr>
          <w:lang w:eastAsia="en-GB"/>
        </w:rPr>
        <w:t xml:space="preserve">. </w:t>
      </w:r>
      <w:r w:rsidRPr="00F049F5">
        <w:rPr>
          <w:lang w:eastAsia="en-GB"/>
        </w:rPr>
        <w:t xml:space="preserve"> </w:t>
      </w:r>
      <w:r w:rsidRPr="003E2FFD">
        <w:rPr>
          <w:lang w:val="en-GB"/>
        </w:rPr>
        <w:t>In this context:</w:t>
      </w:r>
    </w:p>
    <w:p w14:paraId="3E872AEA" w14:textId="77777777" w:rsidR="009D7727" w:rsidRPr="00712A87" w:rsidRDefault="009D7727" w:rsidP="00DB1018">
      <w:pPr>
        <w:pStyle w:val="ListParagraph"/>
        <w:numPr>
          <w:ilvl w:val="1"/>
          <w:numId w:val="5"/>
        </w:numPr>
        <w:spacing w:before="0" w:after="240"/>
        <w:rPr>
          <w:lang w:val="en-GB" w:eastAsia="en-GB"/>
        </w:rPr>
      </w:pPr>
      <w:r w:rsidRPr="00712A87">
        <w:rPr>
          <w:b/>
          <w:bCs/>
          <w:i/>
          <w:iCs/>
          <w:lang w:val="en-GB" w:eastAsia="en-GB"/>
        </w:rPr>
        <w:t>gross sequestration</w:t>
      </w:r>
      <w:r w:rsidRPr="00712A87">
        <w:rPr>
          <w:lang w:val="en-GB" w:eastAsia="en-GB"/>
        </w:rPr>
        <w:t xml:space="preserve"> refers to the total carbon absorbed by vegetation</w:t>
      </w:r>
    </w:p>
    <w:p w14:paraId="6286286D" w14:textId="77777777" w:rsidR="009D7727" w:rsidRPr="00712A87" w:rsidRDefault="009D7727" w:rsidP="00DB1018">
      <w:pPr>
        <w:pStyle w:val="ListParagraph"/>
        <w:numPr>
          <w:ilvl w:val="1"/>
          <w:numId w:val="5"/>
        </w:numPr>
        <w:spacing w:before="0" w:after="240"/>
        <w:rPr>
          <w:lang w:val="en-GB" w:eastAsia="en-GB"/>
        </w:rPr>
      </w:pPr>
      <w:r w:rsidRPr="00712A87">
        <w:rPr>
          <w:b/>
          <w:bCs/>
          <w:i/>
          <w:iCs/>
          <w:lang w:val="en-GB" w:eastAsia="en-GB"/>
        </w:rPr>
        <w:t>net sequestration</w:t>
      </w:r>
      <w:r w:rsidRPr="00712A87">
        <w:rPr>
          <w:lang w:val="en-GB" w:eastAsia="en-GB"/>
        </w:rPr>
        <w:t xml:space="preserve"> refers to the balance of carbon absorbed minus carbon released through decomposition and natural processes</w:t>
      </w:r>
    </w:p>
    <w:p w14:paraId="4FC9BA22" w14:textId="77777777" w:rsidR="009D7727" w:rsidRPr="00741B93" w:rsidRDefault="009D7727" w:rsidP="009D7727">
      <w:pPr>
        <w:pStyle w:val="ListParagraph"/>
        <w:spacing w:before="0" w:after="240"/>
        <w:ind w:left="720" w:firstLine="0"/>
      </w:pPr>
      <w:r w:rsidRPr="00712A87">
        <w:rPr>
          <w:lang w:val="en-GB" w:eastAsia="en-GB"/>
        </w:rPr>
        <w:t xml:space="preserve">The methodology uses </w:t>
      </w:r>
      <w:r w:rsidRPr="00712A87">
        <w:rPr>
          <w:b/>
          <w:bCs/>
          <w:lang w:val="en-GB" w:eastAsia="en-GB"/>
        </w:rPr>
        <w:t>net sequestration factors</w:t>
      </w:r>
      <w:r w:rsidRPr="00712A87">
        <w:rPr>
          <w:lang w:val="en-GB" w:eastAsia="en-GB"/>
        </w:rPr>
        <w:t>, meaning that the values reported already reflect this balance and should not be further adjusted</w:t>
      </w:r>
      <w:r>
        <w:rPr>
          <w:lang w:val="en-GB" w:eastAsia="en-GB"/>
        </w:rPr>
        <w:t xml:space="preserve">, </w:t>
      </w:r>
      <w:r w:rsidRPr="00741B93">
        <w:t xml:space="preserve">using factors from </w:t>
      </w:r>
      <w:r>
        <w:t>NAEI</w:t>
      </w:r>
      <w:r>
        <w:rPr>
          <w:rStyle w:val="FootnoteReference"/>
        </w:rPr>
        <w:footnoteReference w:id="13"/>
      </w:r>
      <w:r w:rsidRPr="00741B93">
        <w:t xml:space="preserve"> and LULUCF database</w:t>
      </w:r>
      <w:r>
        <w:t>s</w:t>
      </w:r>
      <w:r>
        <w:rPr>
          <w:rStyle w:val="FootnoteReference"/>
        </w:rPr>
        <w:footnoteReference w:id="14"/>
      </w:r>
      <w:r w:rsidRPr="00741B93">
        <w:t xml:space="preserve">. </w:t>
      </w:r>
    </w:p>
    <w:p w14:paraId="2D27786B" w14:textId="114220CB" w:rsidR="003E2FFD" w:rsidRDefault="009D7727" w:rsidP="00DB1018">
      <w:pPr>
        <w:pStyle w:val="ListParagraph"/>
        <w:numPr>
          <w:ilvl w:val="0"/>
          <w:numId w:val="6"/>
        </w:numPr>
        <w:spacing w:before="0" w:after="240"/>
      </w:pPr>
      <w:r>
        <w:rPr>
          <w:b/>
        </w:rPr>
        <w:t xml:space="preserve">Consistency: </w:t>
      </w:r>
      <w:r w:rsidR="003E2FFD" w:rsidRPr="009D7727">
        <w:rPr>
          <w:bCs/>
        </w:rPr>
        <w:t>Sequestration values represent the ongoing carbon balance associated with existing land use and management practices.</w:t>
      </w:r>
      <w:r w:rsidR="003E2FFD" w:rsidRPr="009D7727">
        <w:rPr>
          <w:bCs/>
        </w:rPr>
        <w:t xml:space="preserve"> </w:t>
      </w:r>
      <w:r w:rsidR="003E2FFD" w:rsidRPr="009D7727">
        <w:rPr>
          <w:bCs/>
        </w:rPr>
        <w:t>Where future modelling assumes continuation of current management, this does</w:t>
      </w:r>
      <w:r w:rsidR="003E2FFD" w:rsidRPr="003E2FFD">
        <w:t xml:space="preserve"> not constitute additional sequestration.</w:t>
      </w:r>
      <w:r w:rsidR="003E2FFD">
        <w:t xml:space="preserve"> O</w:t>
      </w:r>
      <w:r w:rsidR="003E2FFD" w:rsidRPr="003E2FFD">
        <w:t>nly changes in land use or management that alter the underlying land category (as defined in the methodology) would affect reported sequestration values.</w:t>
      </w:r>
      <w:r w:rsidR="003E2FFD">
        <w:t xml:space="preserve"> </w:t>
      </w:r>
      <w:r w:rsidR="003E2FFD" w:rsidRPr="003E2FFD">
        <w:t>As the methodology operates at a broad land-use level, many beneficial interventions (such as tree planting within existing woodland or reduced mowing frequency) will not be reflected in reported figures in the short term.</w:t>
      </w:r>
      <w:bookmarkEnd w:id="9"/>
    </w:p>
    <w:p w14:paraId="21FD539D" w14:textId="58C5FB26" w:rsidR="003E2FFD" w:rsidRDefault="009D7727" w:rsidP="00DB1018">
      <w:pPr>
        <w:pStyle w:val="ListParagraph"/>
        <w:numPr>
          <w:ilvl w:val="0"/>
          <w:numId w:val="6"/>
        </w:numPr>
        <w:spacing w:before="0" w:after="240"/>
      </w:pPr>
      <w:r>
        <w:rPr>
          <w:b/>
          <w:bCs/>
        </w:rPr>
        <w:t>No d</w:t>
      </w:r>
      <w:r w:rsidR="0070165D" w:rsidRPr="003E2FFD">
        <w:rPr>
          <w:b/>
          <w:bCs/>
        </w:rPr>
        <w:t>ouble counting:</w:t>
      </w:r>
      <w:r w:rsidR="0070165D">
        <w:t xml:space="preserve"> </w:t>
      </w:r>
      <w:r w:rsidR="003E2FFD">
        <w:t xml:space="preserve">Responsibility for ensuring no double counting rests with the </w:t>
      </w:r>
      <w:proofErr w:type="gramStart"/>
      <w:r w:rsidR="003E2FFD">
        <w:t>reporting local authority</w:t>
      </w:r>
      <w:proofErr w:type="gramEnd"/>
      <w:r w:rsidR="003E2FFD">
        <w:t>.</w:t>
      </w:r>
      <w:r w:rsidR="003E2FFD">
        <w:t xml:space="preserve"> </w:t>
      </w:r>
      <w:r w:rsidR="003E2FFD">
        <w:t>Cross-checking may be undertaken through internal governance processes, peer review across Hertfordshire authorities, or (where appropriate) external audit.</w:t>
      </w:r>
    </w:p>
    <w:p w14:paraId="70FD00D0" w14:textId="227496CC" w:rsidR="00741B93" w:rsidRPr="00741B93" w:rsidRDefault="009D7727" w:rsidP="00DB1018">
      <w:pPr>
        <w:pStyle w:val="ListParagraph"/>
        <w:numPr>
          <w:ilvl w:val="0"/>
          <w:numId w:val="6"/>
        </w:numPr>
        <w:spacing w:before="0" w:after="240"/>
      </w:pPr>
      <w:r>
        <w:rPr>
          <w:b/>
          <w:bCs/>
        </w:rPr>
        <w:t>Evidence-based reporting:</w:t>
      </w:r>
      <w:r w:rsidR="00343B22" w:rsidRPr="00741B93">
        <w:t xml:space="preserve"> </w:t>
      </w:r>
      <w:r w:rsidR="00741B93" w:rsidRPr="00741B93">
        <w:t xml:space="preserve">All green asset sequestration figures should be reported alongside </w:t>
      </w:r>
      <w:r>
        <w:t xml:space="preserve">a clear audit trail including </w:t>
      </w:r>
      <w:r w:rsidR="00741B93" w:rsidRPr="00741B93">
        <w:t xml:space="preserve">carbon emissions reports with maps and data links </w:t>
      </w:r>
      <w:r>
        <w:t xml:space="preserve">to national datasets </w:t>
      </w:r>
      <w:r w:rsidR="00741B93" w:rsidRPr="00741B93">
        <w:t xml:space="preserve">to ensure consistency and compliance. </w:t>
      </w:r>
    </w:p>
    <w:p w14:paraId="0EE38B59" w14:textId="1340FF23" w:rsidR="00977590" w:rsidRPr="00741B93" w:rsidRDefault="009D7727" w:rsidP="00DB1018">
      <w:pPr>
        <w:pStyle w:val="ListParagraph"/>
        <w:numPr>
          <w:ilvl w:val="0"/>
          <w:numId w:val="6"/>
        </w:numPr>
        <w:spacing w:before="0" w:after="240"/>
      </w:pPr>
      <w:r>
        <w:rPr>
          <w:b/>
          <w:bCs/>
        </w:rPr>
        <w:t xml:space="preserve">Prudent application: </w:t>
      </w:r>
      <w:r w:rsidRPr="009D7727">
        <w:t xml:space="preserve">Reported figures should be interpreted as strategic estimates and communicated accordingly. </w:t>
      </w:r>
      <w:r w:rsidRPr="009D7727">
        <w:t>Unless significant land-use or ownership changes occur, these figures are expected</w:t>
      </w:r>
      <w:r w:rsidRPr="005945DB">
        <w:t xml:space="preserve"> to remain stable and can be applied retrospectively to previous years’ carbon accounts</w:t>
      </w:r>
      <w:r>
        <w:t xml:space="preserve">. </w:t>
      </w:r>
      <w:r w:rsidRPr="003E2FFD">
        <w:rPr>
          <w:lang w:val="en-GB"/>
        </w:rPr>
        <w:t>This consistency also supports their use in forward modelling of future emissions and sequestration scenarios.</w:t>
      </w:r>
    </w:p>
    <w:p w14:paraId="5B758A8D" w14:textId="43D04501" w:rsidR="00F3175C" w:rsidRPr="00F3175C" w:rsidRDefault="009D7727" w:rsidP="00DB1018">
      <w:pPr>
        <w:pStyle w:val="ListParagraph"/>
        <w:numPr>
          <w:ilvl w:val="0"/>
          <w:numId w:val="6"/>
        </w:numPr>
        <w:spacing w:before="0" w:after="240"/>
      </w:pPr>
      <w:r>
        <w:rPr>
          <w:b/>
          <w:bCs/>
        </w:rPr>
        <w:t>Periodic Review</w:t>
      </w:r>
      <w:r w:rsidR="00F3175C">
        <w:rPr>
          <w:b/>
          <w:bCs/>
        </w:rPr>
        <w:t xml:space="preserve">: </w:t>
      </w:r>
      <w:r w:rsidRPr="009D7727">
        <w:t xml:space="preserve">The methodology should be reviewed periodically to reflect updates to national datasets, scientific understanding and emerging best practice. </w:t>
      </w:r>
    </w:p>
    <w:p w14:paraId="4B4E8DF8" w14:textId="57298CA9" w:rsidR="009D7727" w:rsidRDefault="009D7727" w:rsidP="00312B19">
      <w:pPr>
        <w:pStyle w:val="Heading1"/>
      </w:pPr>
      <w:bookmarkStart w:id="10" w:name="_Toc214461843"/>
      <w:bookmarkStart w:id="11" w:name="_Toc231485117"/>
      <w:r>
        <w:t>Reporting and publication</w:t>
      </w:r>
      <w:bookmarkEnd w:id="11"/>
    </w:p>
    <w:p w14:paraId="1E298522" w14:textId="77777777" w:rsidR="009D7727" w:rsidRPr="009D7727" w:rsidRDefault="009D7727" w:rsidP="009D7727">
      <w:pPr>
        <w:pStyle w:val="BodyText"/>
      </w:pPr>
      <w:r w:rsidRPr="009D7727">
        <w:t>Authorities adopting this methodology may choose to report sequestration alongside annual carbon emissions reporting.</w:t>
      </w:r>
    </w:p>
    <w:p w14:paraId="39E52B4A" w14:textId="77777777" w:rsidR="009D7727" w:rsidRPr="009D7727" w:rsidRDefault="009D7727" w:rsidP="009D7727">
      <w:pPr>
        <w:pStyle w:val="BodyText"/>
      </w:pPr>
      <w:r w:rsidRPr="009D7727">
        <w:t>Where reported, sequestration figures should:</w:t>
      </w:r>
    </w:p>
    <w:p w14:paraId="27BA89BB" w14:textId="77777777" w:rsidR="009D7727" w:rsidRPr="009D7727" w:rsidRDefault="009D7727" w:rsidP="00DB1018">
      <w:pPr>
        <w:pStyle w:val="BodyText"/>
        <w:numPr>
          <w:ilvl w:val="0"/>
          <w:numId w:val="16"/>
        </w:numPr>
      </w:pPr>
      <w:r w:rsidRPr="009D7727">
        <w:t xml:space="preserve">be published separately from gross </w:t>
      </w:r>
      <w:proofErr w:type="gramStart"/>
      <w:r w:rsidRPr="009D7727">
        <w:t>emissions;</w:t>
      </w:r>
      <w:proofErr w:type="gramEnd"/>
    </w:p>
    <w:p w14:paraId="3A42883A" w14:textId="77777777" w:rsidR="009D7727" w:rsidRPr="009D7727" w:rsidRDefault="009D7727" w:rsidP="00DB1018">
      <w:pPr>
        <w:pStyle w:val="BodyText"/>
        <w:numPr>
          <w:ilvl w:val="0"/>
          <w:numId w:val="16"/>
        </w:numPr>
      </w:pPr>
      <w:r w:rsidRPr="009D7727">
        <w:t xml:space="preserve">clearly explain the methodology </w:t>
      </w:r>
      <w:proofErr w:type="gramStart"/>
      <w:r w:rsidRPr="009D7727">
        <w:t>used;</w:t>
      </w:r>
      <w:proofErr w:type="gramEnd"/>
    </w:p>
    <w:p w14:paraId="2570E2E0" w14:textId="77777777" w:rsidR="009D7727" w:rsidRPr="009D7727" w:rsidRDefault="009D7727" w:rsidP="00DB1018">
      <w:pPr>
        <w:pStyle w:val="BodyText"/>
        <w:numPr>
          <w:ilvl w:val="0"/>
          <w:numId w:val="16"/>
        </w:numPr>
      </w:pPr>
      <w:r w:rsidRPr="009D7727">
        <w:t xml:space="preserve">identify the land categories </w:t>
      </w:r>
      <w:proofErr w:type="gramStart"/>
      <w:r w:rsidRPr="009D7727">
        <w:t>included;</w:t>
      </w:r>
      <w:proofErr w:type="gramEnd"/>
    </w:p>
    <w:p w14:paraId="76BC81FD" w14:textId="77777777" w:rsidR="009D7727" w:rsidRPr="009D7727" w:rsidRDefault="009D7727" w:rsidP="00DB1018">
      <w:pPr>
        <w:pStyle w:val="BodyText"/>
        <w:numPr>
          <w:ilvl w:val="0"/>
          <w:numId w:val="16"/>
        </w:numPr>
      </w:pPr>
      <w:r w:rsidRPr="009D7727">
        <w:t>document any exclusions or assumptions; and</w:t>
      </w:r>
    </w:p>
    <w:p w14:paraId="38D3C637" w14:textId="77777777" w:rsidR="009D7727" w:rsidRPr="009D7727" w:rsidRDefault="009D7727" w:rsidP="00DB1018">
      <w:pPr>
        <w:pStyle w:val="BodyText"/>
        <w:numPr>
          <w:ilvl w:val="0"/>
          <w:numId w:val="16"/>
        </w:numPr>
      </w:pPr>
      <w:r w:rsidRPr="009D7727">
        <w:t>maintain consistency between reporting periods.</w:t>
      </w:r>
    </w:p>
    <w:p w14:paraId="2F67F6D6" w14:textId="77777777" w:rsidR="009D7727" w:rsidRPr="009D7727" w:rsidRDefault="009D7727" w:rsidP="009D7727">
      <w:pPr>
        <w:pStyle w:val="BodyText"/>
      </w:pPr>
      <w:r w:rsidRPr="009D7727">
        <w:t>The published sequestration figure should represent the total annual sequestration associated with all qualifying land assets within scope.</w:t>
      </w:r>
    </w:p>
    <w:p w14:paraId="427534D4" w14:textId="77777777" w:rsidR="009D7727" w:rsidRPr="009D7727" w:rsidRDefault="009D7727" w:rsidP="009D7727">
      <w:pPr>
        <w:pStyle w:val="BodyText"/>
      </w:pPr>
      <w:r w:rsidRPr="009D7727">
        <w:t>Unless significant changes occur in land ownership, land use classification or national calculation factors, reported values are expected to remain relatively stable over time.</w:t>
      </w:r>
    </w:p>
    <w:p w14:paraId="25786EA0" w14:textId="77777777" w:rsidR="009D7727" w:rsidRPr="009D7727" w:rsidRDefault="009D7727" w:rsidP="009D7727">
      <w:pPr>
        <w:pStyle w:val="BodyText"/>
      </w:pPr>
      <w:r w:rsidRPr="009D7727">
        <w:t>Authorities may use the resulting data to support:</w:t>
      </w:r>
    </w:p>
    <w:p w14:paraId="1838C027" w14:textId="77777777" w:rsidR="009D7727" w:rsidRPr="009D7727" w:rsidRDefault="009D7727" w:rsidP="00DB1018">
      <w:pPr>
        <w:pStyle w:val="BodyText"/>
        <w:numPr>
          <w:ilvl w:val="0"/>
          <w:numId w:val="17"/>
        </w:numPr>
      </w:pPr>
      <w:r w:rsidRPr="009D7727">
        <w:t xml:space="preserve">carbon </w:t>
      </w:r>
      <w:proofErr w:type="gramStart"/>
      <w:r w:rsidRPr="009D7727">
        <w:t>reporting;</w:t>
      </w:r>
      <w:proofErr w:type="gramEnd"/>
    </w:p>
    <w:p w14:paraId="54304B58" w14:textId="77777777" w:rsidR="009D7727" w:rsidRPr="009D7727" w:rsidRDefault="009D7727" w:rsidP="00DB1018">
      <w:pPr>
        <w:pStyle w:val="BodyText"/>
        <w:numPr>
          <w:ilvl w:val="0"/>
          <w:numId w:val="17"/>
        </w:numPr>
      </w:pPr>
      <w:r w:rsidRPr="009D7727">
        <w:t xml:space="preserve">strategic </w:t>
      </w:r>
      <w:proofErr w:type="gramStart"/>
      <w:r w:rsidRPr="009D7727">
        <w:t>planning;</w:t>
      </w:r>
      <w:proofErr w:type="gramEnd"/>
    </w:p>
    <w:p w14:paraId="5BC74B21" w14:textId="77777777" w:rsidR="009D7727" w:rsidRPr="009D7727" w:rsidRDefault="009D7727" w:rsidP="00DB1018">
      <w:pPr>
        <w:pStyle w:val="BodyText"/>
        <w:numPr>
          <w:ilvl w:val="0"/>
          <w:numId w:val="17"/>
        </w:numPr>
      </w:pPr>
      <w:r w:rsidRPr="009D7727">
        <w:t xml:space="preserve">land management </w:t>
      </w:r>
      <w:proofErr w:type="gramStart"/>
      <w:r w:rsidRPr="009D7727">
        <w:t>decisions;</w:t>
      </w:r>
      <w:proofErr w:type="gramEnd"/>
    </w:p>
    <w:p w14:paraId="079A1ADE" w14:textId="77777777" w:rsidR="009D7727" w:rsidRPr="009D7727" w:rsidRDefault="009D7727" w:rsidP="00DB1018">
      <w:pPr>
        <w:pStyle w:val="BodyText"/>
        <w:numPr>
          <w:ilvl w:val="0"/>
          <w:numId w:val="17"/>
        </w:numPr>
      </w:pPr>
      <w:r w:rsidRPr="009D7727">
        <w:t>investment appraisal; and</w:t>
      </w:r>
    </w:p>
    <w:p w14:paraId="3E055D03" w14:textId="77777777" w:rsidR="009D7727" w:rsidRPr="009D7727" w:rsidRDefault="009D7727" w:rsidP="00DB1018">
      <w:pPr>
        <w:pStyle w:val="BodyText"/>
        <w:numPr>
          <w:ilvl w:val="0"/>
          <w:numId w:val="17"/>
        </w:numPr>
      </w:pPr>
      <w:r w:rsidRPr="009D7727">
        <w:t>climate action planning.</w:t>
      </w:r>
    </w:p>
    <w:p w14:paraId="6ECE15ED" w14:textId="77777777" w:rsidR="009D7727" w:rsidRPr="009D7727" w:rsidRDefault="009D7727" w:rsidP="009D7727">
      <w:pPr>
        <w:pStyle w:val="BodyText"/>
      </w:pPr>
      <w:r w:rsidRPr="009D7727">
        <w:t>The methodology should not be used to generate offsetting claims or substitute for emissions reduction activity.</w:t>
      </w:r>
    </w:p>
    <w:p w14:paraId="12C843DC" w14:textId="2EA35708" w:rsidR="00A077B7" w:rsidRDefault="00A077B7" w:rsidP="00312B19">
      <w:pPr>
        <w:pStyle w:val="Heading1"/>
      </w:pPr>
      <w:bookmarkStart w:id="12" w:name="_Toc231485118"/>
      <w:r>
        <w:t>Next Steps</w:t>
      </w:r>
      <w:bookmarkEnd w:id="10"/>
      <w:bookmarkEnd w:id="12"/>
    </w:p>
    <w:p w14:paraId="0376FAC0" w14:textId="77777777" w:rsidR="009D7727" w:rsidRPr="009D7727" w:rsidRDefault="009D7727" w:rsidP="009D7727">
      <w:pPr>
        <w:pStyle w:val="BodyText"/>
      </w:pPr>
      <w:r w:rsidRPr="009D7727">
        <w:t>HCCSP will continue to review the methodology and associated tool as new evidence and datasets become available.</w:t>
      </w:r>
    </w:p>
    <w:p w14:paraId="067E4DB4" w14:textId="77777777" w:rsidR="009D7727" w:rsidRPr="009D7727" w:rsidRDefault="009D7727" w:rsidP="009D7727">
      <w:pPr>
        <w:pStyle w:val="BodyText"/>
      </w:pPr>
      <w:r w:rsidRPr="009D7727">
        <w:t>Future work may include:</w:t>
      </w:r>
    </w:p>
    <w:p w14:paraId="36779D7A" w14:textId="77777777" w:rsidR="009D7727" w:rsidRPr="009D7727" w:rsidRDefault="009D7727" w:rsidP="00DB1018">
      <w:pPr>
        <w:pStyle w:val="BodyText"/>
        <w:numPr>
          <w:ilvl w:val="0"/>
          <w:numId w:val="18"/>
        </w:numPr>
      </w:pPr>
      <w:r w:rsidRPr="009D7727">
        <w:t xml:space="preserve">periodic review of carbon factors against updated UK inventory </w:t>
      </w:r>
      <w:proofErr w:type="gramStart"/>
      <w:r w:rsidRPr="009D7727">
        <w:t>publications;</w:t>
      </w:r>
      <w:proofErr w:type="gramEnd"/>
    </w:p>
    <w:p w14:paraId="25E115CF" w14:textId="77777777" w:rsidR="009D7727" w:rsidRPr="009D7727" w:rsidRDefault="009D7727" w:rsidP="00DB1018">
      <w:pPr>
        <w:pStyle w:val="BodyText"/>
        <w:numPr>
          <w:ilvl w:val="0"/>
          <w:numId w:val="18"/>
        </w:numPr>
      </w:pPr>
      <w:r w:rsidRPr="009D7727">
        <w:t xml:space="preserve">engagement with local authority networks and sector </w:t>
      </w:r>
      <w:proofErr w:type="gramStart"/>
      <w:r w:rsidRPr="009D7727">
        <w:t>bodies;</w:t>
      </w:r>
      <w:proofErr w:type="gramEnd"/>
    </w:p>
    <w:p w14:paraId="470E5A6D" w14:textId="77777777" w:rsidR="009D7727" w:rsidRPr="009D7727" w:rsidRDefault="009D7727" w:rsidP="00DB1018">
      <w:pPr>
        <w:pStyle w:val="BodyText"/>
        <w:numPr>
          <w:ilvl w:val="0"/>
          <w:numId w:val="18"/>
        </w:numPr>
      </w:pPr>
      <w:r w:rsidRPr="009D7727">
        <w:t xml:space="preserve">refinement of governance </w:t>
      </w:r>
      <w:proofErr w:type="gramStart"/>
      <w:r w:rsidRPr="009D7727">
        <w:t>arrangements;</w:t>
      </w:r>
      <w:proofErr w:type="gramEnd"/>
    </w:p>
    <w:p w14:paraId="0CAFD23B" w14:textId="77777777" w:rsidR="009D7727" w:rsidRPr="009D7727" w:rsidRDefault="009D7727" w:rsidP="00DB1018">
      <w:pPr>
        <w:pStyle w:val="BodyText"/>
        <w:numPr>
          <w:ilvl w:val="0"/>
          <w:numId w:val="18"/>
        </w:numPr>
      </w:pPr>
      <w:r w:rsidRPr="009D7727">
        <w:t>publication of supporting technical guidance; and</w:t>
      </w:r>
    </w:p>
    <w:p w14:paraId="5020D19D" w14:textId="77777777" w:rsidR="009D7727" w:rsidRPr="009D7727" w:rsidRDefault="009D7727" w:rsidP="00DB1018">
      <w:pPr>
        <w:pStyle w:val="BodyText"/>
        <w:numPr>
          <w:ilvl w:val="0"/>
          <w:numId w:val="18"/>
        </w:numPr>
      </w:pPr>
      <w:r w:rsidRPr="009D7727">
        <w:t>sharing of learning with authorities seeking to adopt comparable approaches.</w:t>
      </w:r>
    </w:p>
    <w:p w14:paraId="68D619E2" w14:textId="09E7A116" w:rsidR="0076646D" w:rsidRDefault="009D7727" w:rsidP="009D7727">
      <w:pPr>
        <w:pStyle w:val="BodyText"/>
      </w:pPr>
      <w:r w:rsidRPr="009D7727">
        <w:t>HCCSP welcomes collaboration with local authorities and sector partners to support the development of consistent and credible approaches to green asset sequestration reporting.</w:t>
      </w:r>
      <w:r w:rsidR="0076646D">
        <w:br w:type="page"/>
      </w:r>
    </w:p>
    <w:p w14:paraId="3625D20E" w14:textId="11B861F7" w:rsidR="00761E69" w:rsidRDefault="00FC279C" w:rsidP="00AB32C5">
      <w:pPr>
        <w:pStyle w:val="Heading1"/>
      </w:pPr>
      <w:bookmarkStart w:id="13" w:name="_Ref198718301"/>
      <w:bookmarkStart w:id="14" w:name="_Toc214461844"/>
      <w:bookmarkStart w:id="15" w:name="_Toc231485119"/>
      <w:r>
        <w:t xml:space="preserve">Appendix 1: </w:t>
      </w:r>
      <w:r w:rsidR="00761E69" w:rsidRPr="00761E69">
        <w:t>Technical Methodology</w:t>
      </w:r>
      <w:bookmarkEnd w:id="15"/>
    </w:p>
    <w:p w14:paraId="339A3D3D" w14:textId="7DFDFAB8" w:rsidR="00761E69" w:rsidRPr="00761E69" w:rsidRDefault="00761E69" w:rsidP="00761E69">
      <w:pPr>
        <w:pStyle w:val="Heading2"/>
      </w:pPr>
      <w:r w:rsidRPr="00761E69">
        <w:t>Purpose</w:t>
      </w:r>
    </w:p>
    <w:p w14:paraId="3F2C1F95" w14:textId="77777777" w:rsidR="00761E69" w:rsidRPr="00761E69" w:rsidRDefault="00761E69" w:rsidP="009D7727">
      <w:pPr>
        <w:pStyle w:val="BodyText"/>
      </w:pPr>
      <w:r w:rsidRPr="00761E69">
        <w:t>The HCCSP Green Asset Sequestration Tool for Local Authorities (GASTLA) provides a consistent method for estimating annual greenhouse gas sequestration associated with local authority landholdings.</w:t>
      </w:r>
    </w:p>
    <w:p w14:paraId="1AC4697A" w14:textId="77777777" w:rsidR="00761E69" w:rsidRPr="00761E69" w:rsidRDefault="00761E69" w:rsidP="009D7727">
      <w:pPr>
        <w:pStyle w:val="BodyText"/>
      </w:pPr>
      <w:r w:rsidRPr="00761E69">
        <w:t>The methodology is intended for organisational carbon reporting, strategic planning and decision-making. It is not designed for carbon credit generation, offsetting claims or site-specific ecological assessment.</w:t>
      </w:r>
    </w:p>
    <w:p w14:paraId="7C0F38B2" w14:textId="77777777" w:rsidR="00761E69" w:rsidRPr="00761E69" w:rsidRDefault="00761E69" w:rsidP="009D7727">
      <w:pPr>
        <w:pStyle w:val="BodyText"/>
      </w:pPr>
      <w:r w:rsidRPr="00761E69">
        <w:t>The methodology applies nationally derived carbon stock-change factors to mapped land-use categories, providing a prudent estimate of annual sequestration or emissions associated with existing land management.</w:t>
      </w:r>
    </w:p>
    <w:p w14:paraId="6EFEFA86" w14:textId="77777777" w:rsidR="00761E69" w:rsidRPr="00761E69" w:rsidRDefault="00761E69" w:rsidP="009D7727">
      <w:pPr>
        <w:pStyle w:val="BodyText"/>
      </w:pPr>
      <w:r w:rsidRPr="00761E69">
        <w:t xml:space="preserve">The approach is based upon the methodology originally developed for Welsh local </w:t>
      </w:r>
      <w:proofErr w:type="gramStart"/>
      <w:r w:rsidRPr="00761E69">
        <w:t>authorities, but</w:t>
      </w:r>
      <w:proofErr w:type="gramEnd"/>
      <w:r w:rsidRPr="00761E69">
        <w:t xml:space="preserve"> has been independently reconstructed and validated using primary UK greenhouse gas inventory datasets to ensure a complete audit trail from source data to final calculation.</w:t>
      </w:r>
    </w:p>
    <w:p w14:paraId="48571036" w14:textId="45E1E001" w:rsidR="00761E69" w:rsidRPr="00761E69" w:rsidRDefault="00761E69" w:rsidP="00761E69">
      <w:pPr>
        <w:pStyle w:val="Heading2"/>
      </w:pPr>
      <w:r w:rsidRPr="00761E69">
        <w:t>Overview of the Calculation Process</w:t>
      </w:r>
    </w:p>
    <w:p w14:paraId="4F15D1B7" w14:textId="77777777" w:rsidR="00761E69" w:rsidRPr="00761E69" w:rsidRDefault="00761E69" w:rsidP="009D7727">
      <w:pPr>
        <w:pStyle w:val="BodyText"/>
      </w:pPr>
      <w:r w:rsidRPr="00761E69">
        <w:t>The methodology consists of four stages:</w:t>
      </w:r>
    </w:p>
    <w:p w14:paraId="4E3E78D8" w14:textId="77777777" w:rsidR="00761E69" w:rsidRDefault="00761E69" w:rsidP="009D7727">
      <w:pPr>
        <w:pStyle w:val="BodyText"/>
        <w:rPr>
          <w:b/>
          <w:bCs/>
        </w:rPr>
      </w:pPr>
    </w:p>
    <w:p w14:paraId="131B3B1D" w14:textId="23D57035" w:rsidR="00761E69" w:rsidRPr="00761E69" w:rsidRDefault="00761E69" w:rsidP="009D7727">
      <w:pPr>
        <w:pStyle w:val="BodyText"/>
        <w:rPr>
          <w:b/>
          <w:bCs/>
        </w:rPr>
      </w:pPr>
      <w:r w:rsidRPr="00761E69">
        <w:rPr>
          <w:b/>
          <w:bCs/>
        </w:rPr>
        <w:t>Stage 1: Identify Land Under Operational Control</w:t>
      </w:r>
    </w:p>
    <w:p w14:paraId="16B79504" w14:textId="77777777" w:rsidR="00761E69" w:rsidRPr="00761E69" w:rsidRDefault="00761E69" w:rsidP="009D7727">
      <w:pPr>
        <w:pStyle w:val="BodyText"/>
      </w:pPr>
      <w:r w:rsidRPr="00761E69">
        <w:t>Authorities identify land that falls within the agreed reporting boundary.</w:t>
      </w:r>
    </w:p>
    <w:p w14:paraId="1BDC66E3" w14:textId="77777777" w:rsidR="00761E69" w:rsidRPr="00761E69" w:rsidRDefault="00761E69" w:rsidP="009D7727">
      <w:pPr>
        <w:pStyle w:val="BodyText"/>
      </w:pPr>
      <w:r w:rsidRPr="00761E69">
        <w:t>For consistency, HCCSP recommends that organisations define their boundary according to operational control rather than legal ownership alone.</w:t>
      </w:r>
    </w:p>
    <w:p w14:paraId="7163E149" w14:textId="77777777" w:rsidR="00761E69" w:rsidRPr="00761E69" w:rsidRDefault="00761E69" w:rsidP="009D7727">
      <w:pPr>
        <w:pStyle w:val="BodyText"/>
      </w:pPr>
      <w:r w:rsidRPr="00761E69">
        <w:t>This generally includes:</w:t>
      </w:r>
    </w:p>
    <w:p w14:paraId="1FC6B105" w14:textId="77777777" w:rsidR="00761E69" w:rsidRPr="00761E69" w:rsidRDefault="00761E69" w:rsidP="00DB1018">
      <w:pPr>
        <w:pStyle w:val="BodyText"/>
        <w:numPr>
          <w:ilvl w:val="0"/>
          <w:numId w:val="19"/>
        </w:numPr>
      </w:pPr>
      <w:proofErr w:type="gramStart"/>
      <w:r w:rsidRPr="00761E69">
        <w:t>parks;</w:t>
      </w:r>
      <w:proofErr w:type="gramEnd"/>
      <w:r w:rsidRPr="00761E69">
        <w:t xml:space="preserve"> </w:t>
      </w:r>
    </w:p>
    <w:p w14:paraId="2481DE44" w14:textId="77777777" w:rsidR="00761E69" w:rsidRPr="00761E69" w:rsidRDefault="00761E69" w:rsidP="00DB1018">
      <w:pPr>
        <w:pStyle w:val="BodyText"/>
        <w:numPr>
          <w:ilvl w:val="0"/>
          <w:numId w:val="19"/>
        </w:numPr>
      </w:pPr>
      <w:proofErr w:type="gramStart"/>
      <w:r w:rsidRPr="00761E69">
        <w:t>woodlands;</w:t>
      </w:r>
      <w:proofErr w:type="gramEnd"/>
      <w:r w:rsidRPr="00761E69">
        <w:t xml:space="preserve"> </w:t>
      </w:r>
    </w:p>
    <w:p w14:paraId="25389B31" w14:textId="77777777" w:rsidR="00761E69" w:rsidRPr="00761E69" w:rsidRDefault="00761E69" w:rsidP="00DB1018">
      <w:pPr>
        <w:pStyle w:val="BodyText"/>
        <w:numPr>
          <w:ilvl w:val="0"/>
          <w:numId w:val="19"/>
        </w:numPr>
      </w:pPr>
      <w:proofErr w:type="gramStart"/>
      <w:r w:rsidRPr="00761E69">
        <w:t>grasslands;</w:t>
      </w:r>
      <w:proofErr w:type="gramEnd"/>
      <w:r w:rsidRPr="00761E69">
        <w:t xml:space="preserve"> </w:t>
      </w:r>
    </w:p>
    <w:p w14:paraId="07A65B08" w14:textId="77777777" w:rsidR="00761E69" w:rsidRPr="00761E69" w:rsidRDefault="00761E69" w:rsidP="00DB1018">
      <w:pPr>
        <w:pStyle w:val="BodyText"/>
        <w:numPr>
          <w:ilvl w:val="0"/>
          <w:numId w:val="19"/>
        </w:numPr>
      </w:pPr>
      <w:proofErr w:type="gramStart"/>
      <w:r w:rsidRPr="00761E69">
        <w:t>wetlands;</w:t>
      </w:r>
      <w:proofErr w:type="gramEnd"/>
      <w:r w:rsidRPr="00761E69">
        <w:t xml:space="preserve"> </w:t>
      </w:r>
    </w:p>
    <w:p w14:paraId="13FEE62D" w14:textId="77777777" w:rsidR="00761E69" w:rsidRPr="00761E69" w:rsidRDefault="00761E69" w:rsidP="00DB1018">
      <w:pPr>
        <w:pStyle w:val="BodyText"/>
        <w:numPr>
          <w:ilvl w:val="0"/>
          <w:numId w:val="19"/>
        </w:numPr>
      </w:pPr>
      <w:r w:rsidRPr="00761E69">
        <w:t xml:space="preserve">amenity green </w:t>
      </w:r>
      <w:proofErr w:type="gramStart"/>
      <w:r w:rsidRPr="00761E69">
        <w:t>space;</w:t>
      </w:r>
      <w:proofErr w:type="gramEnd"/>
      <w:r w:rsidRPr="00761E69">
        <w:t xml:space="preserve"> </w:t>
      </w:r>
    </w:p>
    <w:p w14:paraId="34D0FC87" w14:textId="77777777" w:rsidR="00761E69" w:rsidRPr="00761E69" w:rsidRDefault="00761E69" w:rsidP="00DB1018">
      <w:pPr>
        <w:pStyle w:val="BodyText"/>
        <w:numPr>
          <w:ilvl w:val="0"/>
          <w:numId w:val="19"/>
        </w:numPr>
      </w:pPr>
      <w:r w:rsidRPr="00761E69">
        <w:t xml:space="preserve">nature </w:t>
      </w:r>
      <w:proofErr w:type="gramStart"/>
      <w:r w:rsidRPr="00761E69">
        <w:t>reserves;</w:t>
      </w:r>
      <w:proofErr w:type="gramEnd"/>
      <w:r w:rsidRPr="00761E69">
        <w:t xml:space="preserve"> </w:t>
      </w:r>
    </w:p>
    <w:p w14:paraId="50749904" w14:textId="77777777" w:rsidR="00761E69" w:rsidRPr="00761E69" w:rsidRDefault="00761E69" w:rsidP="00DB1018">
      <w:pPr>
        <w:pStyle w:val="BodyText"/>
        <w:numPr>
          <w:ilvl w:val="0"/>
          <w:numId w:val="19"/>
        </w:numPr>
      </w:pPr>
      <w:r w:rsidRPr="00761E69">
        <w:t xml:space="preserve">other land managed as part of local authority operations. </w:t>
      </w:r>
    </w:p>
    <w:p w14:paraId="241EFD5B" w14:textId="77777777" w:rsidR="00761E69" w:rsidRPr="00761E69" w:rsidRDefault="00761E69" w:rsidP="009D7727">
      <w:pPr>
        <w:pStyle w:val="BodyText"/>
      </w:pPr>
      <w:r w:rsidRPr="00761E69">
        <w:t>Assets may be excluded where:</w:t>
      </w:r>
    </w:p>
    <w:p w14:paraId="53EA49CC" w14:textId="77777777" w:rsidR="00761E69" w:rsidRPr="00761E69" w:rsidRDefault="00761E69" w:rsidP="00DB1018">
      <w:pPr>
        <w:pStyle w:val="BodyText"/>
        <w:numPr>
          <w:ilvl w:val="0"/>
          <w:numId w:val="20"/>
        </w:numPr>
      </w:pPr>
      <w:r w:rsidRPr="00761E69">
        <w:t xml:space="preserve">they are privately </w:t>
      </w:r>
      <w:proofErr w:type="gramStart"/>
      <w:r w:rsidRPr="00761E69">
        <w:t>managed;</w:t>
      </w:r>
      <w:proofErr w:type="gramEnd"/>
      <w:r w:rsidRPr="00761E69">
        <w:t xml:space="preserve"> </w:t>
      </w:r>
    </w:p>
    <w:p w14:paraId="5E1E0AB9" w14:textId="77777777" w:rsidR="00761E69" w:rsidRPr="00761E69" w:rsidRDefault="00761E69" w:rsidP="00DB1018">
      <w:pPr>
        <w:pStyle w:val="BodyText"/>
        <w:numPr>
          <w:ilvl w:val="0"/>
          <w:numId w:val="20"/>
        </w:numPr>
      </w:pPr>
      <w:r w:rsidRPr="00761E69">
        <w:t xml:space="preserve">they are leased to third parties with independent operational </w:t>
      </w:r>
      <w:proofErr w:type="gramStart"/>
      <w:r w:rsidRPr="00761E69">
        <w:t>control;</w:t>
      </w:r>
      <w:proofErr w:type="gramEnd"/>
      <w:r w:rsidRPr="00761E69">
        <w:t xml:space="preserve"> </w:t>
      </w:r>
    </w:p>
    <w:p w14:paraId="418E3F76" w14:textId="77777777" w:rsidR="00761E69" w:rsidRPr="00761E69" w:rsidRDefault="00761E69" w:rsidP="00DB1018">
      <w:pPr>
        <w:pStyle w:val="BodyText"/>
        <w:numPr>
          <w:ilvl w:val="0"/>
          <w:numId w:val="20"/>
        </w:numPr>
      </w:pPr>
      <w:r w:rsidRPr="00761E69">
        <w:t xml:space="preserve">reporting responsibility has been assigned elsewhere. </w:t>
      </w:r>
    </w:p>
    <w:p w14:paraId="09256D0F" w14:textId="77777777" w:rsidR="00761E69" w:rsidRPr="00761E69" w:rsidRDefault="00761E69" w:rsidP="009D7727">
      <w:pPr>
        <w:pStyle w:val="BodyText"/>
      </w:pPr>
      <w:r w:rsidRPr="00761E69">
        <w:t>Only one organisation should report sequestration from any individual asset.</w:t>
      </w:r>
    </w:p>
    <w:p w14:paraId="6B2C76C6" w14:textId="77777777" w:rsidR="00761E69" w:rsidRDefault="00761E69" w:rsidP="00761E69">
      <w:pPr>
        <w:rPr>
          <w:b/>
          <w:bCs/>
          <w:lang w:val="en-GB" w:eastAsia="en-GB"/>
        </w:rPr>
      </w:pPr>
    </w:p>
    <w:p w14:paraId="4AB93105" w14:textId="7E8C65DB" w:rsidR="00761E69" w:rsidRPr="00761E69" w:rsidRDefault="00761E69" w:rsidP="00761E69">
      <w:pPr>
        <w:rPr>
          <w:b/>
          <w:bCs/>
          <w:lang w:val="en-GB" w:eastAsia="en-GB"/>
        </w:rPr>
      </w:pPr>
      <w:r w:rsidRPr="00761E69">
        <w:rPr>
          <w:b/>
          <w:bCs/>
          <w:lang w:val="en-GB" w:eastAsia="en-GB"/>
        </w:rPr>
        <w:t>Stage 2: Classify Habitat and Land Use</w:t>
      </w:r>
    </w:p>
    <w:p w14:paraId="3D9A61DC" w14:textId="5C835D65" w:rsidR="00761E69" w:rsidRPr="00761E69" w:rsidRDefault="00761E69" w:rsidP="009D7727">
      <w:pPr>
        <w:pStyle w:val="BodyText"/>
      </w:pPr>
      <w:r w:rsidRPr="00761E69">
        <w:t>Each land parcel is assigned to one of the six LULUCF categories used within UK greenhouse gas inventory reporting: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6"/>
        <w:gridCol w:w="5892"/>
      </w:tblGrid>
      <w:tr w:rsidR="00761E69" w:rsidRPr="00761E69" w14:paraId="53C86FE7" w14:textId="77777777">
        <w:trPr>
          <w:tblHeader/>
          <w:tblCellSpacing w:w="15" w:type="dxa"/>
        </w:trPr>
        <w:tc>
          <w:tcPr>
            <w:tcW w:w="0" w:type="auto"/>
            <w:vAlign w:val="center"/>
            <w:hideMark/>
          </w:tcPr>
          <w:p w14:paraId="66A914FA" w14:textId="77777777" w:rsidR="00761E69" w:rsidRPr="00761E69" w:rsidRDefault="00761E69" w:rsidP="00761E69">
            <w:pPr>
              <w:rPr>
                <w:b/>
                <w:bCs/>
                <w:lang w:val="en-GB" w:eastAsia="en-GB"/>
              </w:rPr>
            </w:pPr>
            <w:r w:rsidRPr="00761E69">
              <w:rPr>
                <w:b/>
                <w:bCs/>
                <w:lang w:val="en-GB" w:eastAsia="en-GB"/>
              </w:rPr>
              <w:t>Category</w:t>
            </w:r>
          </w:p>
        </w:tc>
        <w:tc>
          <w:tcPr>
            <w:tcW w:w="0" w:type="auto"/>
            <w:vAlign w:val="center"/>
            <w:hideMark/>
          </w:tcPr>
          <w:p w14:paraId="7F96B5C6" w14:textId="77777777" w:rsidR="00761E69" w:rsidRPr="00761E69" w:rsidRDefault="00761E69" w:rsidP="00761E69">
            <w:pPr>
              <w:rPr>
                <w:b/>
                <w:bCs/>
                <w:lang w:val="en-GB" w:eastAsia="en-GB"/>
              </w:rPr>
            </w:pPr>
            <w:r w:rsidRPr="00761E69">
              <w:rPr>
                <w:b/>
                <w:bCs/>
                <w:lang w:val="en-GB" w:eastAsia="en-GB"/>
              </w:rPr>
              <w:t>Description</w:t>
            </w:r>
          </w:p>
        </w:tc>
      </w:tr>
      <w:tr w:rsidR="00761E69" w:rsidRPr="00761E69" w14:paraId="136784C5" w14:textId="77777777">
        <w:trPr>
          <w:tblCellSpacing w:w="15" w:type="dxa"/>
        </w:trPr>
        <w:tc>
          <w:tcPr>
            <w:tcW w:w="0" w:type="auto"/>
            <w:vAlign w:val="center"/>
            <w:hideMark/>
          </w:tcPr>
          <w:p w14:paraId="4B79DE3D" w14:textId="77777777" w:rsidR="00761E69" w:rsidRPr="00761E69" w:rsidRDefault="00761E69" w:rsidP="00761E69">
            <w:pPr>
              <w:rPr>
                <w:lang w:val="en-GB" w:eastAsia="en-GB"/>
              </w:rPr>
            </w:pPr>
            <w:r w:rsidRPr="00761E69">
              <w:rPr>
                <w:lang w:val="en-GB" w:eastAsia="en-GB"/>
              </w:rPr>
              <w:t>Forest Land</w:t>
            </w:r>
          </w:p>
        </w:tc>
        <w:tc>
          <w:tcPr>
            <w:tcW w:w="0" w:type="auto"/>
            <w:vAlign w:val="center"/>
            <w:hideMark/>
          </w:tcPr>
          <w:p w14:paraId="1D4FA487" w14:textId="77777777" w:rsidR="00761E69" w:rsidRPr="00761E69" w:rsidRDefault="00761E69" w:rsidP="00761E69">
            <w:pPr>
              <w:rPr>
                <w:lang w:val="en-GB" w:eastAsia="en-GB"/>
              </w:rPr>
            </w:pPr>
            <w:r w:rsidRPr="00761E69">
              <w:rPr>
                <w:lang w:val="en-GB" w:eastAsia="en-GB"/>
              </w:rPr>
              <w:t>Woodland and forest habitats</w:t>
            </w:r>
          </w:p>
        </w:tc>
      </w:tr>
      <w:tr w:rsidR="00761E69" w:rsidRPr="00761E69" w14:paraId="47BB1648" w14:textId="77777777">
        <w:trPr>
          <w:tblCellSpacing w:w="15" w:type="dxa"/>
        </w:trPr>
        <w:tc>
          <w:tcPr>
            <w:tcW w:w="0" w:type="auto"/>
            <w:vAlign w:val="center"/>
            <w:hideMark/>
          </w:tcPr>
          <w:p w14:paraId="055D361D" w14:textId="77777777" w:rsidR="00761E69" w:rsidRPr="00761E69" w:rsidRDefault="00761E69" w:rsidP="00761E69">
            <w:pPr>
              <w:rPr>
                <w:lang w:val="en-GB" w:eastAsia="en-GB"/>
              </w:rPr>
            </w:pPr>
            <w:r w:rsidRPr="00761E69">
              <w:rPr>
                <w:lang w:val="en-GB" w:eastAsia="en-GB"/>
              </w:rPr>
              <w:t>Cropland</w:t>
            </w:r>
          </w:p>
        </w:tc>
        <w:tc>
          <w:tcPr>
            <w:tcW w:w="0" w:type="auto"/>
            <w:vAlign w:val="center"/>
            <w:hideMark/>
          </w:tcPr>
          <w:p w14:paraId="63F1A105" w14:textId="77777777" w:rsidR="00761E69" w:rsidRPr="00761E69" w:rsidRDefault="00761E69" w:rsidP="00761E69">
            <w:pPr>
              <w:rPr>
                <w:lang w:val="en-GB" w:eastAsia="en-GB"/>
              </w:rPr>
            </w:pPr>
            <w:r w:rsidRPr="00761E69">
              <w:rPr>
                <w:lang w:val="en-GB" w:eastAsia="en-GB"/>
              </w:rPr>
              <w:t>Arable and horticultural land</w:t>
            </w:r>
          </w:p>
        </w:tc>
      </w:tr>
      <w:tr w:rsidR="00761E69" w:rsidRPr="00761E69" w14:paraId="62825BDE" w14:textId="77777777">
        <w:trPr>
          <w:tblCellSpacing w:w="15" w:type="dxa"/>
        </w:trPr>
        <w:tc>
          <w:tcPr>
            <w:tcW w:w="0" w:type="auto"/>
            <w:vAlign w:val="center"/>
            <w:hideMark/>
          </w:tcPr>
          <w:p w14:paraId="6F529D59" w14:textId="77777777" w:rsidR="00761E69" w:rsidRPr="00761E69" w:rsidRDefault="00761E69" w:rsidP="00761E69">
            <w:pPr>
              <w:rPr>
                <w:lang w:val="en-GB" w:eastAsia="en-GB"/>
              </w:rPr>
            </w:pPr>
            <w:r w:rsidRPr="00761E69">
              <w:rPr>
                <w:lang w:val="en-GB" w:eastAsia="en-GB"/>
              </w:rPr>
              <w:t>Grassland</w:t>
            </w:r>
          </w:p>
        </w:tc>
        <w:tc>
          <w:tcPr>
            <w:tcW w:w="0" w:type="auto"/>
            <w:vAlign w:val="center"/>
            <w:hideMark/>
          </w:tcPr>
          <w:p w14:paraId="4F6B4D53" w14:textId="77777777" w:rsidR="00761E69" w:rsidRPr="00761E69" w:rsidRDefault="00761E69" w:rsidP="00761E69">
            <w:pPr>
              <w:rPr>
                <w:lang w:val="en-GB" w:eastAsia="en-GB"/>
              </w:rPr>
            </w:pPr>
            <w:r w:rsidRPr="00761E69">
              <w:rPr>
                <w:lang w:val="en-GB" w:eastAsia="en-GB"/>
              </w:rPr>
              <w:t>Amenity grassland, pasture and similar habitats</w:t>
            </w:r>
          </w:p>
        </w:tc>
      </w:tr>
      <w:tr w:rsidR="00761E69" w:rsidRPr="00761E69" w14:paraId="6D60FDE1" w14:textId="77777777">
        <w:trPr>
          <w:tblCellSpacing w:w="15" w:type="dxa"/>
        </w:trPr>
        <w:tc>
          <w:tcPr>
            <w:tcW w:w="0" w:type="auto"/>
            <w:vAlign w:val="center"/>
            <w:hideMark/>
          </w:tcPr>
          <w:p w14:paraId="3E0B3102" w14:textId="77777777" w:rsidR="00761E69" w:rsidRPr="00761E69" w:rsidRDefault="00761E69" w:rsidP="00761E69">
            <w:pPr>
              <w:rPr>
                <w:lang w:val="en-GB" w:eastAsia="en-GB"/>
              </w:rPr>
            </w:pPr>
            <w:r w:rsidRPr="00761E69">
              <w:rPr>
                <w:lang w:val="en-GB" w:eastAsia="en-GB"/>
              </w:rPr>
              <w:t>Wetlands</w:t>
            </w:r>
          </w:p>
        </w:tc>
        <w:tc>
          <w:tcPr>
            <w:tcW w:w="0" w:type="auto"/>
            <w:vAlign w:val="center"/>
            <w:hideMark/>
          </w:tcPr>
          <w:p w14:paraId="4E640001" w14:textId="77777777" w:rsidR="00761E69" w:rsidRPr="00761E69" w:rsidRDefault="00761E69" w:rsidP="00761E69">
            <w:pPr>
              <w:rPr>
                <w:lang w:val="en-GB" w:eastAsia="en-GB"/>
              </w:rPr>
            </w:pPr>
            <w:r w:rsidRPr="00761E69">
              <w:rPr>
                <w:lang w:val="en-GB" w:eastAsia="en-GB"/>
              </w:rPr>
              <w:t>Marsh, fen and wetland habitats</w:t>
            </w:r>
          </w:p>
        </w:tc>
      </w:tr>
      <w:tr w:rsidR="00761E69" w:rsidRPr="00761E69" w14:paraId="75DC0633" w14:textId="77777777">
        <w:trPr>
          <w:tblCellSpacing w:w="15" w:type="dxa"/>
        </w:trPr>
        <w:tc>
          <w:tcPr>
            <w:tcW w:w="0" w:type="auto"/>
            <w:vAlign w:val="center"/>
            <w:hideMark/>
          </w:tcPr>
          <w:p w14:paraId="3CF88092" w14:textId="77777777" w:rsidR="00761E69" w:rsidRPr="00761E69" w:rsidRDefault="00761E69" w:rsidP="00761E69">
            <w:pPr>
              <w:rPr>
                <w:lang w:val="en-GB" w:eastAsia="en-GB"/>
              </w:rPr>
            </w:pPr>
            <w:r w:rsidRPr="00761E69">
              <w:rPr>
                <w:lang w:val="en-GB" w:eastAsia="en-GB"/>
              </w:rPr>
              <w:t>Settlements</w:t>
            </w:r>
          </w:p>
        </w:tc>
        <w:tc>
          <w:tcPr>
            <w:tcW w:w="0" w:type="auto"/>
            <w:vAlign w:val="center"/>
            <w:hideMark/>
          </w:tcPr>
          <w:p w14:paraId="2469472B" w14:textId="77777777" w:rsidR="00761E69" w:rsidRPr="00761E69" w:rsidRDefault="00761E69" w:rsidP="00761E69">
            <w:pPr>
              <w:rPr>
                <w:lang w:val="en-GB" w:eastAsia="en-GB"/>
              </w:rPr>
            </w:pPr>
            <w:r w:rsidRPr="00761E69">
              <w:rPr>
                <w:lang w:val="en-GB" w:eastAsia="en-GB"/>
              </w:rPr>
              <w:t>Developed green infrastructure within settlement areas</w:t>
            </w:r>
          </w:p>
        </w:tc>
      </w:tr>
      <w:tr w:rsidR="00761E69" w:rsidRPr="00761E69" w14:paraId="549ABFC6" w14:textId="77777777">
        <w:trPr>
          <w:tblCellSpacing w:w="15" w:type="dxa"/>
        </w:trPr>
        <w:tc>
          <w:tcPr>
            <w:tcW w:w="0" w:type="auto"/>
            <w:vAlign w:val="center"/>
            <w:hideMark/>
          </w:tcPr>
          <w:p w14:paraId="14E6BA9B" w14:textId="77777777" w:rsidR="00761E69" w:rsidRPr="00761E69" w:rsidRDefault="00761E69" w:rsidP="00761E69">
            <w:pPr>
              <w:rPr>
                <w:lang w:val="en-GB" w:eastAsia="en-GB"/>
              </w:rPr>
            </w:pPr>
            <w:r w:rsidRPr="00761E69">
              <w:rPr>
                <w:lang w:val="en-GB" w:eastAsia="en-GB"/>
              </w:rPr>
              <w:t>Other Land</w:t>
            </w:r>
          </w:p>
        </w:tc>
        <w:tc>
          <w:tcPr>
            <w:tcW w:w="0" w:type="auto"/>
            <w:vAlign w:val="center"/>
            <w:hideMark/>
          </w:tcPr>
          <w:p w14:paraId="72918B52" w14:textId="77777777" w:rsidR="00761E69" w:rsidRPr="00761E69" w:rsidRDefault="00761E69" w:rsidP="00761E69">
            <w:pPr>
              <w:rPr>
                <w:lang w:val="en-GB" w:eastAsia="en-GB"/>
              </w:rPr>
            </w:pPr>
            <w:r w:rsidRPr="00761E69">
              <w:rPr>
                <w:lang w:val="en-GB" w:eastAsia="en-GB"/>
              </w:rPr>
              <w:t>Land not falling into other categories</w:t>
            </w:r>
          </w:p>
        </w:tc>
      </w:tr>
    </w:tbl>
    <w:p w14:paraId="4FBBF9DA" w14:textId="77777777" w:rsidR="00761E69" w:rsidRPr="00761E69" w:rsidRDefault="00761E69" w:rsidP="009D7727">
      <w:pPr>
        <w:pStyle w:val="BodyText"/>
      </w:pPr>
      <w:r w:rsidRPr="00761E69">
        <w:t>Habitat classifications are derived from biodiversity mapping datasets and translated into the corresponding LULUCF category.</w:t>
      </w:r>
    </w:p>
    <w:p w14:paraId="796D01C0" w14:textId="733D6B66" w:rsidR="00761E69" w:rsidRPr="00761E69" w:rsidRDefault="00761E69" w:rsidP="009D7727">
      <w:pPr>
        <w:pStyle w:val="BodyText"/>
      </w:pPr>
      <w:r w:rsidRPr="00761E69">
        <w:t>Within Hertfordshire, this process is undertaken using Biodiversity Baseline</w:t>
      </w:r>
      <w:r w:rsidR="009D7727">
        <w:t>-derived</w:t>
      </w:r>
      <w:r w:rsidRPr="00761E69">
        <w:t xml:space="preserve"> habitat polygons.</w:t>
      </w:r>
    </w:p>
    <w:p w14:paraId="39091DC1" w14:textId="77777777" w:rsidR="00761E69" w:rsidRPr="00761E69" w:rsidRDefault="00761E69" w:rsidP="00761E69">
      <w:pPr>
        <w:rPr>
          <w:b/>
          <w:bCs/>
          <w:lang w:val="en-GB" w:eastAsia="en-GB"/>
        </w:rPr>
      </w:pPr>
      <w:r w:rsidRPr="00761E69">
        <w:rPr>
          <w:b/>
          <w:bCs/>
          <w:lang w:val="en-GB" w:eastAsia="en-GB"/>
        </w:rPr>
        <w:t>Stage 3: Apply Carbon Stock-Change Factors</w:t>
      </w:r>
    </w:p>
    <w:p w14:paraId="2DC74A88" w14:textId="77777777" w:rsidR="00761E69" w:rsidRPr="00761E69" w:rsidRDefault="00761E69" w:rsidP="009D7727">
      <w:pPr>
        <w:pStyle w:val="BodyText"/>
      </w:pPr>
      <w:r w:rsidRPr="00761E69">
        <w:t>Each land category is assigned a carbon stock-change factor.</w:t>
      </w:r>
    </w:p>
    <w:p w14:paraId="51831FF1" w14:textId="77777777" w:rsidR="00761E69" w:rsidRPr="00761E69" w:rsidRDefault="00761E69" w:rsidP="009D7727">
      <w:pPr>
        <w:pStyle w:val="BodyText"/>
      </w:pPr>
      <w:r w:rsidRPr="00761E69">
        <w:t>These factors represent the average annual change in carbon storage associated with that land type.</w:t>
      </w:r>
    </w:p>
    <w:p w14:paraId="2E6D46E7" w14:textId="77777777" w:rsidR="00761E69" w:rsidRPr="00761E69" w:rsidRDefault="00761E69" w:rsidP="009D7727">
      <w:pPr>
        <w:pStyle w:val="BodyText"/>
      </w:pPr>
      <w:r w:rsidRPr="00761E69">
        <w:t>A negative value indicates net sequestration (removal of carbon dioxide from the atmosphere).</w:t>
      </w:r>
    </w:p>
    <w:p w14:paraId="3145EA67" w14:textId="77777777" w:rsidR="00761E69" w:rsidRPr="00761E69" w:rsidRDefault="00761E69" w:rsidP="009D7727">
      <w:pPr>
        <w:pStyle w:val="BodyText"/>
      </w:pPr>
      <w:r w:rsidRPr="00761E69">
        <w:t>A positive value indicates net emissions.</w:t>
      </w:r>
    </w:p>
    <w:p w14:paraId="623E4D21" w14:textId="77777777" w:rsidR="00761E69" w:rsidRPr="00761E69" w:rsidRDefault="00761E69" w:rsidP="009D7727">
      <w:pPr>
        <w:pStyle w:val="BodyText"/>
      </w:pPr>
      <w:r w:rsidRPr="00761E69">
        <w:t>Factors are applied on a per-hectare basis and multiplied by the area of land within each category.</w:t>
      </w:r>
    </w:p>
    <w:p w14:paraId="0B21D16B" w14:textId="486B81FF" w:rsidR="00761E69" w:rsidRPr="00761E69" w:rsidRDefault="00761E69" w:rsidP="00761E69">
      <w:pPr>
        <w:rPr>
          <w:lang w:val="en-GB" w:eastAsia="en-GB"/>
        </w:rPr>
      </w:pPr>
    </w:p>
    <w:p w14:paraId="2B6BB4F6" w14:textId="77777777" w:rsidR="00761E69" w:rsidRPr="00761E69" w:rsidRDefault="00761E69" w:rsidP="00761E69">
      <w:pPr>
        <w:rPr>
          <w:b/>
          <w:bCs/>
          <w:lang w:val="en-GB" w:eastAsia="en-GB"/>
        </w:rPr>
      </w:pPr>
      <w:r w:rsidRPr="00761E69">
        <w:rPr>
          <w:b/>
          <w:bCs/>
          <w:lang w:val="en-GB" w:eastAsia="en-GB"/>
        </w:rPr>
        <w:t>Stage 4: Calculate Total Annual Sequestration</w:t>
      </w:r>
    </w:p>
    <w:p w14:paraId="5E0A18F5" w14:textId="77777777" w:rsidR="00761E69" w:rsidRPr="00761E69" w:rsidRDefault="00761E69" w:rsidP="009D7727">
      <w:pPr>
        <w:pStyle w:val="BodyText"/>
      </w:pPr>
      <w:r w:rsidRPr="00761E69">
        <w:t>Annual sequestration is calculated as:</w:t>
      </w:r>
    </w:p>
    <w:p w14:paraId="446C55CE" w14:textId="77777777" w:rsidR="00761E69" w:rsidRPr="00761E69" w:rsidRDefault="00761E69" w:rsidP="009D7727">
      <w:pPr>
        <w:pStyle w:val="BodyText"/>
      </w:pPr>
      <w:r w:rsidRPr="00761E69">
        <w:rPr>
          <w:b/>
          <w:bCs/>
        </w:rPr>
        <w:t>Land Area (ha) × Carbon Stock-Change Factor (</w:t>
      </w:r>
      <w:proofErr w:type="spellStart"/>
      <w:r w:rsidRPr="00761E69">
        <w:rPr>
          <w:b/>
          <w:bCs/>
        </w:rPr>
        <w:t>tCO</w:t>
      </w:r>
      <w:r w:rsidRPr="00761E69">
        <w:rPr>
          <w:rFonts w:ascii="Cambria Math" w:hAnsi="Cambria Math" w:cs="Cambria Math"/>
          <w:b/>
          <w:bCs/>
        </w:rPr>
        <w:t>₂</w:t>
      </w:r>
      <w:r w:rsidRPr="00761E69">
        <w:rPr>
          <w:b/>
          <w:bCs/>
        </w:rPr>
        <w:t>e</w:t>
      </w:r>
      <w:proofErr w:type="spellEnd"/>
      <w:r w:rsidRPr="00761E69">
        <w:rPr>
          <w:b/>
          <w:bCs/>
        </w:rPr>
        <w:t>/ha/year)</w:t>
      </w:r>
    </w:p>
    <w:p w14:paraId="0B24A1C5" w14:textId="77777777" w:rsidR="00761E69" w:rsidRPr="00761E69" w:rsidRDefault="00761E69" w:rsidP="009D7727">
      <w:pPr>
        <w:pStyle w:val="BodyText"/>
      </w:pPr>
      <w:r w:rsidRPr="00761E69">
        <w:t>Results are aggregated across all land parcels to produce a total annual sequestration figure for the authority.</w:t>
      </w:r>
    </w:p>
    <w:p w14:paraId="175EC58E" w14:textId="77777777" w:rsidR="00761E69" w:rsidRPr="00761E69" w:rsidRDefault="00761E69" w:rsidP="009D7727">
      <w:pPr>
        <w:pStyle w:val="BodyText"/>
      </w:pPr>
      <w:r w:rsidRPr="00761E69">
        <w:t>The final reported value represents the net annual greenhouse gas balance associated with qualifying land assets.</w:t>
      </w:r>
    </w:p>
    <w:p w14:paraId="4FBC39E1" w14:textId="6F38507A" w:rsidR="00761E69" w:rsidRPr="00761E69" w:rsidRDefault="00761E69" w:rsidP="00761E69">
      <w:pPr>
        <w:pStyle w:val="Heading2"/>
      </w:pPr>
      <w:r w:rsidRPr="00761E69">
        <w:t>Derivation of Carbon Factors</w:t>
      </w:r>
    </w:p>
    <w:p w14:paraId="03053BCB" w14:textId="77777777" w:rsidR="00761E69" w:rsidRPr="00761E69" w:rsidRDefault="00761E69" w:rsidP="00DB1018">
      <w:pPr>
        <w:numPr>
          <w:ilvl w:val="0"/>
          <w:numId w:val="14"/>
        </w:numPr>
        <w:rPr>
          <w:b/>
          <w:bCs/>
          <w:lang w:val="en-GB" w:eastAsia="en-GB"/>
        </w:rPr>
      </w:pPr>
      <w:r w:rsidRPr="00761E69">
        <w:rPr>
          <w:b/>
          <w:bCs/>
          <w:lang w:val="en-GB" w:eastAsia="en-GB"/>
        </w:rPr>
        <w:t>Source Datasets</w:t>
      </w:r>
    </w:p>
    <w:p w14:paraId="7AD3800F" w14:textId="1E3B3DF9" w:rsidR="00761E69" w:rsidRPr="00761E69" w:rsidRDefault="00761E69" w:rsidP="009D7727">
      <w:pPr>
        <w:pStyle w:val="BodyText"/>
      </w:pPr>
      <w:r w:rsidRPr="00761E69">
        <w:t>The methodology derives factors from:</w:t>
      </w:r>
    </w:p>
    <w:p w14:paraId="1EE4AAD3" w14:textId="65B97E22" w:rsidR="00761E69" w:rsidRPr="009D7727" w:rsidRDefault="00761E69" w:rsidP="009D7727">
      <w:pPr>
        <w:pStyle w:val="BodyText"/>
        <w:ind w:left="720"/>
        <w:rPr>
          <w:b/>
          <w:bCs/>
        </w:rPr>
      </w:pPr>
      <w:r w:rsidRPr="009D7727">
        <w:rPr>
          <w:b/>
          <w:bCs/>
        </w:rPr>
        <w:t>UK Greenhouse Gas Inventory (GHGI)</w:t>
      </w:r>
      <w:r w:rsidR="00862E54">
        <w:rPr>
          <w:rStyle w:val="FootnoteReference"/>
          <w:b/>
          <w:bCs/>
        </w:rPr>
        <w:footnoteReference w:id="15"/>
      </w:r>
      <w:r w:rsidRPr="009D7727">
        <w:rPr>
          <w:b/>
          <w:bCs/>
        </w:rPr>
        <w:t xml:space="preserve">; </w:t>
      </w:r>
    </w:p>
    <w:p w14:paraId="457A364C" w14:textId="77777777" w:rsidR="00761E69" w:rsidRPr="009D7727" w:rsidRDefault="00761E69" w:rsidP="009D7727">
      <w:pPr>
        <w:pStyle w:val="BodyText"/>
        <w:ind w:left="720"/>
        <w:rPr>
          <w:b/>
          <w:bCs/>
        </w:rPr>
      </w:pPr>
      <w:r w:rsidRPr="009D7727">
        <w:rPr>
          <w:b/>
          <w:bCs/>
        </w:rPr>
        <w:t>UNFCCC Common Reporting Tables (CRT</w:t>
      </w:r>
      <w:proofErr w:type="gramStart"/>
      <w:r w:rsidRPr="009D7727">
        <w:rPr>
          <w:b/>
          <w:bCs/>
        </w:rPr>
        <w:t>);</w:t>
      </w:r>
      <w:proofErr w:type="gramEnd"/>
      <w:r w:rsidRPr="009D7727">
        <w:rPr>
          <w:b/>
          <w:bCs/>
        </w:rPr>
        <w:t xml:space="preserve"> </w:t>
      </w:r>
    </w:p>
    <w:p w14:paraId="7C81CCAF" w14:textId="36A2E41A" w:rsidR="00761E69" w:rsidRPr="009D7727" w:rsidRDefault="00761E69" w:rsidP="009D7727">
      <w:pPr>
        <w:pStyle w:val="BodyText"/>
        <w:ind w:left="720"/>
        <w:rPr>
          <w:b/>
          <w:bCs/>
        </w:rPr>
      </w:pPr>
      <w:r w:rsidRPr="009D7727">
        <w:rPr>
          <w:b/>
          <w:bCs/>
        </w:rPr>
        <w:t>Land Use, Land Use Change and Forestry (LULUCF)</w:t>
      </w:r>
      <w:r w:rsidR="00862E54">
        <w:rPr>
          <w:rStyle w:val="FootnoteReference"/>
          <w:b/>
          <w:bCs/>
        </w:rPr>
        <w:footnoteReference w:id="16"/>
      </w:r>
      <w:r w:rsidRPr="009D7727">
        <w:rPr>
          <w:b/>
          <w:bCs/>
        </w:rPr>
        <w:t xml:space="preserve"> reporting datasets. </w:t>
      </w:r>
    </w:p>
    <w:p w14:paraId="1A9655EE" w14:textId="77777777" w:rsidR="00761E69" w:rsidRDefault="00761E69" w:rsidP="009D7727">
      <w:pPr>
        <w:pStyle w:val="BodyText"/>
      </w:pPr>
      <w:r w:rsidRPr="00761E69">
        <w:t>These datasets form the official greenhouse gas reporting mechanism used by the UK Government for international reporting obligations.</w:t>
      </w:r>
    </w:p>
    <w:p w14:paraId="723A84C5" w14:textId="77777777" w:rsidR="00761E69" w:rsidRDefault="00761E69" w:rsidP="00DB1018">
      <w:pPr>
        <w:numPr>
          <w:ilvl w:val="0"/>
          <w:numId w:val="14"/>
        </w:numPr>
        <w:rPr>
          <w:b/>
          <w:bCs/>
          <w:lang w:val="en-GB" w:eastAsia="en-GB"/>
        </w:rPr>
      </w:pPr>
      <w:r w:rsidRPr="00761E69">
        <w:rPr>
          <w:b/>
          <w:bCs/>
          <w:lang w:val="en-GB" w:eastAsia="en-GB"/>
        </w:rPr>
        <w:t>Carbon Stock Change Approach</w:t>
      </w:r>
    </w:p>
    <w:p w14:paraId="4A046AC8" w14:textId="77777777" w:rsidR="00761E69" w:rsidRPr="00761E69" w:rsidRDefault="00761E69" w:rsidP="009D7727">
      <w:pPr>
        <w:pStyle w:val="BodyText"/>
      </w:pPr>
      <w:r w:rsidRPr="00761E69">
        <w:t>The methodology uses implied carbon stock-change factors.</w:t>
      </w:r>
    </w:p>
    <w:p w14:paraId="2681662E" w14:textId="77777777" w:rsidR="00761E69" w:rsidRPr="00761E69" w:rsidRDefault="00761E69" w:rsidP="009D7727">
      <w:pPr>
        <w:pStyle w:val="BodyText"/>
      </w:pPr>
      <w:r w:rsidRPr="00761E69">
        <w:t>These represent annual changes in carbon stored within:</w:t>
      </w:r>
    </w:p>
    <w:p w14:paraId="4D39BF4A" w14:textId="77777777" w:rsidR="00761E69" w:rsidRPr="00761E69" w:rsidRDefault="00761E69" w:rsidP="00DB1018">
      <w:pPr>
        <w:numPr>
          <w:ilvl w:val="0"/>
          <w:numId w:val="15"/>
        </w:numPr>
        <w:rPr>
          <w:lang w:val="en-GB" w:eastAsia="en-GB"/>
        </w:rPr>
      </w:pPr>
      <w:r w:rsidRPr="00761E69">
        <w:rPr>
          <w:lang w:val="en-GB" w:eastAsia="en-GB"/>
        </w:rPr>
        <w:t xml:space="preserve">living </w:t>
      </w:r>
      <w:proofErr w:type="gramStart"/>
      <w:r w:rsidRPr="00761E69">
        <w:rPr>
          <w:lang w:val="en-GB" w:eastAsia="en-GB"/>
        </w:rPr>
        <w:t>biomass;</w:t>
      </w:r>
      <w:proofErr w:type="gramEnd"/>
      <w:r w:rsidRPr="00761E69">
        <w:rPr>
          <w:lang w:val="en-GB" w:eastAsia="en-GB"/>
        </w:rPr>
        <w:t xml:space="preserve"> </w:t>
      </w:r>
    </w:p>
    <w:p w14:paraId="3B6C45C9" w14:textId="77777777" w:rsidR="00761E69" w:rsidRPr="00761E69" w:rsidRDefault="00761E69" w:rsidP="00DB1018">
      <w:pPr>
        <w:numPr>
          <w:ilvl w:val="0"/>
          <w:numId w:val="15"/>
        </w:numPr>
        <w:rPr>
          <w:lang w:val="en-GB" w:eastAsia="en-GB"/>
        </w:rPr>
      </w:pPr>
      <w:r w:rsidRPr="00761E69">
        <w:rPr>
          <w:lang w:val="en-GB" w:eastAsia="en-GB"/>
        </w:rPr>
        <w:t xml:space="preserve">dead </w:t>
      </w:r>
      <w:proofErr w:type="gramStart"/>
      <w:r w:rsidRPr="00761E69">
        <w:rPr>
          <w:lang w:val="en-GB" w:eastAsia="en-GB"/>
        </w:rPr>
        <w:t>wood;</w:t>
      </w:r>
      <w:proofErr w:type="gramEnd"/>
      <w:r w:rsidRPr="00761E69">
        <w:rPr>
          <w:lang w:val="en-GB" w:eastAsia="en-GB"/>
        </w:rPr>
        <w:t xml:space="preserve"> </w:t>
      </w:r>
    </w:p>
    <w:p w14:paraId="43BE09EF" w14:textId="77777777" w:rsidR="00761E69" w:rsidRPr="00761E69" w:rsidRDefault="00761E69" w:rsidP="00DB1018">
      <w:pPr>
        <w:numPr>
          <w:ilvl w:val="0"/>
          <w:numId w:val="15"/>
        </w:numPr>
        <w:rPr>
          <w:lang w:val="en-GB" w:eastAsia="en-GB"/>
        </w:rPr>
      </w:pPr>
      <w:proofErr w:type="gramStart"/>
      <w:r w:rsidRPr="00761E69">
        <w:rPr>
          <w:lang w:val="en-GB" w:eastAsia="en-GB"/>
        </w:rPr>
        <w:t>litter;</w:t>
      </w:r>
      <w:proofErr w:type="gramEnd"/>
      <w:r w:rsidRPr="00761E69">
        <w:rPr>
          <w:lang w:val="en-GB" w:eastAsia="en-GB"/>
        </w:rPr>
        <w:t xml:space="preserve"> </w:t>
      </w:r>
    </w:p>
    <w:p w14:paraId="6C8FEE76" w14:textId="77777777" w:rsidR="00761E69" w:rsidRPr="00761E69" w:rsidRDefault="00761E69" w:rsidP="00DB1018">
      <w:pPr>
        <w:numPr>
          <w:ilvl w:val="0"/>
          <w:numId w:val="15"/>
        </w:numPr>
        <w:rPr>
          <w:lang w:val="en-GB" w:eastAsia="en-GB"/>
        </w:rPr>
      </w:pPr>
      <w:r w:rsidRPr="00761E69">
        <w:rPr>
          <w:lang w:val="en-GB" w:eastAsia="en-GB"/>
        </w:rPr>
        <w:t xml:space="preserve">soils. </w:t>
      </w:r>
    </w:p>
    <w:p w14:paraId="68BC207F" w14:textId="77777777" w:rsidR="00761E69" w:rsidRPr="00761E69" w:rsidRDefault="00761E69" w:rsidP="009D7727">
      <w:pPr>
        <w:pStyle w:val="BodyText"/>
      </w:pPr>
      <w:r w:rsidRPr="00761E69">
        <w:t>For each land-use category, the individual stock-change components are combined to produce a total annual carbon stock-change value.</w:t>
      </w:r>
    </w:p>
    <w:p w14:paraId="14379D41" w14:textId="77777777" w:rsidR="00761E69" w:rsidRPr="00761E69" w:rsidRDefault="00761E69" w:rsidP="009D7727">
      <w:pPr>
        <w:pStyle w:val="BodyText"/>
      </w:pPr>
      <w:r w:rsidRPr="00761E69">
        <w:t>This approach reflects the net annual balance between carbon uptake and carbon release.</w:t>
      </w:r>
    </w:p>
    <w:p w14:paraId="5803BC5D" w14:textId="77777777" w:rsidR="00761E69" w:rsidRPr="00761E69" w:rsidRDefault="00761E69" w:rsidP="00DB1018">
      <w:pPr>
        <w:numPr>
          <w:ilvl w:val="0"/>
          <w:numId w:val="14"/>
        </w:numPr>
        <w:rPr>
          <w:b/>
          <w:bCs/>
          <w:lang w:val="en-GB" w:eastAsia="en-GB"/>
        </w:rPr>
      </w:pPr>
      <w:r w:rsidRPr="00761E69">
        <w:rPr>
          <w:b/>
          <w:bCs/>
          <w:lang w:val="en-GB" w:eastAsia="en-GB"/>
        </w:rPr>
        <w:t xml:space="preserve">Conversion from </w:t>
      </w:r>
      <w:proofErr w:type="gramStart"/>
      <w:r w:rsidRPr="00761E69">
        <w:rPr>
          <w:b/>
          <w:bCs/>
          <w:lang w:val="en-GB" w:eastAsia="en-GB"/>
        </w:rPr>
        <w:t>Carbon to Carbon</w:t>
      </w:r>
      <w:proofErr w:type="gramEnd"/>
      <w:r w:rsidRPr="00761E69">
        <w:rPr>
          <w:b/>
          <w:bCs/>
          <w:lang w:val="en-GB" w:eastAsia="en-GB"/>
        </w:rPr>
        <w:t xml:space="preserve"> Dioxide</w:t>
      </w:r>
    </w:p>
    <w:p w14:paraId="225E1F4B" w14:textId="77777777" w:rsidR="00761E69" w:rsidRPr="00761E69" w:rsidRDefault="00761E69" w:rsidP="009D7727">
      <w:pPr>
        <w:pStyle w:val="BodyText"/>
      </w:pPr>
      <w:r w:rsidRPr="00761E69">
        <w:t>The original inventory data are reported as tonnes of carbon.</w:t>
      </w:r>
    </w:p>
    <w:p w14:paraId="0FE33C1E" w14:textId="77777777" w:rsidR="00761E69" w:rsidRPr="00761E69" w:rsidRDefault="00761E69" w:rsidP="009D7727">
      <w:pPr>
        <w:pStyle w:val="BodyText"/>
      </w:pPr>
      <w:r w:rsidRPr="00761E69">
        <w:t>To align with standard greenhouse gas accounting practice, values are converted to tonnes of carbon dioxide equivalent (</w:t>
      </w:r>
      <w:proofErr w:type="spellStart"/>
      <w:r w:rsidRPr="00761E69">
        <w:t>tCO</w:t>
      </w:r>
      <w:r w:rsidRPr="00761E69">
        <w:rPr>
          <w:rFonts w:ascii="Cambria Math" w:hAnsi="Cambria Math" w:cs="Cambria Math"/>
        </w:rPr>
        <w:t>₂</w:t>
      </w:r>
      <w:r w:rsidRPr="00761E69">
        <w:t>e</w:t>
      </w:r>
      <w:proofErr w:type="spellEnd"/>
      <w:r w:rsidRPr="00761E69">
        <w:t>) using the molecular weight conversion:</w:t>
      </w:r>
    </w:p>
    <w:p w14:paraId="1B860366" w14:textId="77777777" w:rsidR="00761E69" w:rsidRPr="00761E69" w:rsidRDefault="00761E69" w:rsidP="009D7727">
      <w:pPr>
        <w:pStyle w:val="BodyText"/>
      </w:pPr>
      <w:r w:rsidRPr="00761E69">
        <w:rPr>
          <w:b/>
          <w:bCs/>
        </w:rPr>
        <w:t>CO</w:t>
      </w:r>
      <w:r w:rsidRPr="00761E69">
        <w:rPr>
          <w:rFonts w:ascii="Cambria Math" w:hAnsi="Cambria Math" w:cs="Cambria Math"/>
          <w:b/>
          <w:bCs/>
        </w:rPr>
        <w:t>₂</w:t>
      </w:r>
      <w:r w:rsidRPr="00761E69">
        <w:rPr>
          <w:b/>
          <w:bCs/>
        </w:rPr>
        <w:t xml:space="preserve"> = Carbon </w:t>
      </w:r>
      <w:r w:rsidRPr="00761E69">
        <w:rPr>
          <w:rFonts w:cs="Arial"/>
          <w:b/>
          <w:bCs/>
        </w:rPr>
        <w:t>×</w:t>
      </w:r>
      <w:r w:rsidRPr="00761E69">
        <w:rPr>
          <w:b/>
          <w:bCs/>
        </w:rPr>
        <w:t xml:space="preserve"> (44 </w:t>
      </w:r>
      <w:r w:rsidRPr="00761E69">
        <w:rPr>
          <w:rFonts w:cs="Arial"/>
          <w:b/>
          <w:bCs/>
        </w:rPr>
        <w:t>÷</w:t>
      </w:r>
      <w:r w:rsidRPr="00761E69">
        <w:rPr>
          <w:b/>
          <w:bCs/>
        </w:rPr>
        <w:t xml:space="preserve"> 12)</w:t>
      </w:r>
    </w:p>
    <w:p w14:paraId="7F3D11E1" w14:textId="77777777" w:rsidR="00761E69" w:rsidRPr="00761E69" w:rsidRDefault="00761E69" w:rsidP="009D7727">
      <w:pPr>
        <w:pStyle w:val="BodyText"/>
      </w:pPr>
      <w:r w:rsidRPr="00761E69">
        <w:t>This conversion is applied consistently across all categories.</w:t>
      </w:r>
    </w:p>
    <w:p w14:paraId="149F3110" w14:textId="77777777" w:rsidR="00761E69" w:rsidRPr="00761E69" w:rsidRDefault="00761E69" w:rsidP="00DB1018">
      <w:pPr>
        <w:numPr>
          <w:ilvl w:val="0"/>
          <w:numId w:val="14"/>
        </w:numPr>
        <w:rPr>
          <w:b/>
          <w:bCs/>
          <w:lang w:val="en-GB" w:eastAsia="en-GB"/>
        </w:rPr>
      </w:pPr>
      <w:r w:rsidRPr="00761E69">
        <w:rPr>
          <w:b/>
          <w:bCs/>
          <w:lang w:val="en-GB" w:eastAsia="en-GB"/>
        </w:rPr>
        <w:t>Sign Convention</w:t>
      </w:r>
    </w:p>
    <w:p w14:paraId="3A29F8CC" w14:textId="77777777" w:rsidR="00761E69" w:rsidRPr="00761E69" w:rsidRDefault="00761E69" w:rsidP="009D7727">
      <w:pPr>
        <w:pStyle w:val="BodyText"/>
      </w:pPr>
      <w:r w:rsidRPr="00761E69">
        <w:t>Within greenhouse gas inventory reporting:</w:t>
      </w:r>
    </w:p>
    <w:p w14:paraId="773A769C" w14:textId="77777777" w:rsidR="00761E69" w:rsidRPr="00761E69" w:rsidRDefault="00761E69" w:rsidP="00DB1018">
      <w:pPr>
        <w:pStyle w:val="BodyText"/>
        <w:numPr>
          <w:ilvl w:val="0"/>
          <w:numId w:val="21"/>
        </w:numPr>
      </w:pPr>
      <w:r w:rsidRPr="00761E69">
        <w:t xml:space="preserve">positive values indicate increasing carbon </w:t>
      </w:r>
      <w:proofErr w:type="gramStart"/>
      <w:r w:rsidRPr="00761E69">
        <w:t>stocks;</w:t>
      </w:r>
      <w:proofErr w:type="gramEnd"/>
      <w:r w:rsidRPr="00761E69">
        <w:t xml:space="preserve"> </w:t>
      </w:r>
    </w:p>
    <w:p w14:paraId="18E529F9" w14:textId="77777777" w:rsidR="00761E69" w:rsidRPr="00761E69" w:rsidRDefault="00761E69" w:rsidP="00DB1018">
      <w:pPr>
        <w:pStyle w:val="BodyText"/>
        <w:numPr>
          <w:ilvl w:val="0"/>
          <w:numId w:val="21"/>
        </w:numPr>
      </w:pPr>
      <w:r w:rsidRPr="00761E69">
        <w:t xml:space="preserve">increasing carbon stocks represent carbon being removed from the atmosphere. </w:t>
      </w:r>
    </w:p>
    <w:p w14:paraId="2A87ED21" w14:textId="77777777" w:rsidR="00761E69" w:rsidRPr="00761E69" w:rsidRDefault="00761E69" w:rsidP="009D7727">
      <w:pPr>
        <w:pStyle w:val="BodyText"/>
      </w:pPr>
      <w:r w:rsidRPr="00761E69">
        <w:t>For organisational greenhouse gas reporting this convention is reversed so that:</w:t>
      </w:r>
    </w:p>
    <w:p w14:paraId="3BA0E341" w14:textId="77777777" w:rsidR="00761E69" w:rsidRPr="00761E69" w:rsidRDefault="00761E69" w:rsidP="00DB1018">
      <w:pPr>
        <w:pStyle w:val="BodyText"/>
        <w:numPr>
          <w:ilvl w:val="0"/>
          <w:numId w:val="22"/>
        </w:numPr>
      </w:pPr>
      <w:r w:rsidRPr="00761E69">
        <w:t xml:space="preserve">negative values represent </w:t>
      </w:r>
      <w:proofErr w:type="gramStart"/>
      <w:r w:rsidRPr="00761E69">
        <w:t>sequestration;</w:t>
      </w:r>
      <w:proofErr w:type="gramEnd"/>
      <w:r w:rsidRPr="00761E69">
        <w:t xml:space="preserve"> </w:t>
      </w:r>
    </w:p>
    <w:p w14:paraId="263B0D68" w14:textId="77777777" w:rsidR="00761E69" w:rsidRPr="00761E69" w:rsidRDefault="00761E69" w:rsidP="00DB1018">
      <w:pPr>
        <w:pStyle w:val="BodyText"/>
        <w:numPr>
          <w:ilvl w:val="0"/>
          <w:numId w:val="22"/>
        </w:numPr>
      </w:pPr>
      <w:r w:rsidRPr="00761E69">
        <w:t xml:space="preserve">positive values represent emissions. </w:t>
      </w:r>
    </w:p>
    <w:p w14:paraId="427E0BA0" w14:textId="77777777" w:rsidR="00761E69" w:rsidRPr="00761E69" w:rsidRDefault="00761E69" w:rsidP="009D7727">
      <w:pPr>
        <w:pStyle w:val="BodyText"/>
      </w:pPr>
      <w:r w:rsidRPr="00761E69">
        <w:t>This enables sequestration values to be reported alongside organisational emissions in a consistent manner.</w:t>
      </w:r>
    </w:p>
    <w:p w14:paraId="640EC106" w14:textId="77777777" w:rsidR="00761E69" w:rsidRPr="00761E69" w:rsidRDefault="00761E69" w:rsidP="00DB1018">
      <w:pPr>
        <w:numPr>
          <w:ilvl w:val="0"/>
          <w:numId w:val="14"/>
        </w:numPr>
        <w:rPr>
          <w:b/>
          <w:bCs/>
          <w:lang w:val="en-GB" w:eastAsia="en-GB"/>
        </w:rPr>
      </w:pPr>
      <w:r w:rsidRPr="00761E69">
        <w:rPr>
          <w:b/>
          <w:bCs/>
          <w:lang w:val="en-GB" w:eastAsia="en-GB"/>
        </w:rPr>
        <w:t>Validation Against the Welsh Methodology</w:t>
      </w:r>
    </w:p>
    <w:p w14:paraId="25100063" w14:textId="77777777" w:rsidR="00761E69" w:rsidRPr="00761E69" w:rsidRDefault="00761E69" w:rsidP="009D7727">
      <w:pPr>
        <w:pStyle w:val="BodyText"/>
      </w:pPr>
      <w:r w:rsidRPr="00761E69">
        <w:t>During development, HCCSP compared the independently reconstructed factors against those embedded within the Welsh local government tool.</w:t>
      </w:r>
    </w:p>
    <w:p w14:paraId="71EB9D72" w14:textId="77777777" w:rsidR="00761E69" w:rsidRPr="00761E69" w:rsidRDefault="00761E69" w:rsidP="009D7727">
      <w:pPr>
        <w:pStyle w:val="BodyText"/>
      </w:pPr>
      <w:r w:rsidRPr="00761E69">
        <w:t>The reconstructed factors produced materially comparable results and demonstrated only minor variation in calculated outputs.</w:t>
      </w:r>
    </w:p>
    <w:p w14:paraId="77040331" w14:textId="77777777" w:rsidR="00761E69" w:rsidRPr="00761E69" w:rsidRDefault="00761E69" w:rsidP="009D7727">
      <w:pPr>
        <w:pStyle w:val="BodyText"/>
      </w:pPr>
      <w:r w:rsidRPr="00761E69">
        <w:t>The validation exercise confirmed that the methodology remains aligned with the intent and outcomes of the Welsh approach while providing a complete and transparent evidence chain.</w:t>
      </w:r>
    </w:p>
    <w:p w14:paraId="0D6BC4D8" w14:textId="56D52FD8" w:rsidR="00FC279C" w:rsidRDefault="00761E69" w:rsidP="00AB32C5">
      <w:pPr>
        <w:pStyle w:val="Heading1"/>
      </w:pPr>
      <w:bookmarkStart w:id="16" w:name="_Toc231485120"/>
      <w:r>
        <w:t xml:space="preserve">Appendix 2: </w:t>
      </w:r>
      <w:r w:rsidR="00FC279C">
        <w:t>Data Sources</w:t>
      </w:r>
      <w:bookmarkEnd w:id="16"/>
    </w:p>
    <w:p w14:paraId="4EE810CD" w14:textId="764620F0" w:rsidR="00FC279C" w:rsidRPr="00FC279C" w:rsidRDefault="00FC279C" w:rsidP="00761E69">
      <w:pPr>
        <w:pStyle w:val="Heading2"/>
      </w:pPr>
      <w:r w:rsidRPr="00FC279C">
        <w:t xml:space="preserve"> National Carbon Data</w:t>
      </w:r>
    </w:p>
    <w:p w14:paraId="37D96C5A" w14:textId="77777777" w:rsidR="00FC279C" w:rsidRPr="00FC279C" w:rsidRDefault="00FC279C" w:rsidP="009D7727">
      <w:pPr>
        <w:pStyle w:val="BodyText"/>
      </w:pPr>
      <w:r w:rsidRPr="00FC279C">
        <w:t>The methodology uses annual greenhouse gas inventory data published by the UK Government and submitted to the United Nations Framework Convention on Climate Change.</w:t>
      </w:r>
    </w:p>
    <w:p w14:paraId="2B1E9768" w14:textId="77777777" w:rsidR="00FC279C" w:rsidRPr="00FC279C" w:rsidRDefault="00FC279C" w:rsidP="009D7727">
      <w:pPr>
        <w:pStyle w:val="BodyText"/>
      </w:pPr>
      <w:r w:rsidRPr="00FC279C">
        <w:t>Primary sources include:</w:t>
      </w:r>
    </w:p>
    <w:p w14:paraId="4FA33B09" w14:textId="77777777" w:rsidR="00FC279C" w:rsidRPr="00FC279C" w:rsidRDefault="00FC279C" w:rsidP="00DB1018">
      <w:pPr>
        <w:pStyle w:val="BodyText"/>
        <w:numPr>
          <w:ilvl w:val="0"/>
          <w:numId w:val="23"/>
        </w:numPr>
      </w:pPr>
      <w:r w:rsidRPr="00FC279C">
        <w:t xml:space="preserve">UK Greenhouse Gas Inventory Annual </w:t>
      </w:r>
      <w:proofErr w:type="gramStart"/>
      <w:r w:rsidRPr="00FC279C">
        <w:t>Report;</w:t>
      </w:r>
      <w:proofErr w:type="gramEnd"/>
      <w:r w:rsidRPr="00FC279C">
        <w:t xml:space="preserve"> </w:t>
      </w:r>
    </w:p>
    <w:p w14:paraId="441CA255" w14:textId="77777777" w:rsidR="00FC279C" w:rsidRPr="00FC279C" w:rsidRDefault="00FC279C" w:rsidP="00DB1018">
      <w:pPr>
        <w:pStyle w:val="BodyText"/>
        <w:numPr>
          <w:ilvl w:val="0"/>
          <w:numId w:val="23"/>
        </w:numPr>
      </w:pPr>
      <w:r w:rsidRPr="00FC279C">
        <w:t xml:space="preserve">UNFCCC Common Reporting </w:t>
      </w:r>
      <w:proofErr w:type="gramStart"/>
      <w:r w:rsidRPr="00FC279C">
        <w:t>Tables;</w:t>
      </w:r>
      <w:proofErr w:type="gramEnd"/>
      <w:r w:rsidRPr="00FC279C">
        <w:t xml:space="preserve"> </w:t>
      </w:r>
    </w:p>
    <w:p w14:paraId="198C7D75" w14:textId="6EC82895" w:rsidR="00FC279C" w:rsidRPr="00FC279C" w:rsidRDefault="00FC279C" w:rsidP="00DB1018">
      <w:pPr>
        <w:pStyle w:val="BodyText"/>
        <w:numPr>
          <w:ilvl w:val="0"/>
          <w:numId w:val="23"/>
        </w:numPr>
      </w:pPr>
      <w:r w:rsidRPr="00FC279C">
        <w:t>LULUCF inventory datasets</w:t>
      </w:r>
      <w:r w:rsidR="00862E54">
        <w:rPr>
          <w:rStyle w:val="FootnoteReference"/>
        </w:rPr>
        <w:footnoteReference w:id="17"/>
      </w:r>
      <w:r w:rsidRPr="00FC279C">
        <w:t xml:space="preserve">. </w:t>
      </w:r>
    </w:p>
    <w:p w14:paraId="3DB5BE88" w14:textId="77777777" w:rsidR="00FC279C" w:rsidRPr="00FC279C" w:rsidRDefault="00FC279C" w:rsidP="009D7727">
      <w:pPr>
        <w:pStyle w:val="BodyText"/>
      </w:pPr>
      <w:r w:rsidRPr="00FC279C">
        <w:t>These datasets are periodically updated and reflect the best available national evidence.</w:t>
      </w:r>
    </w:p>
    <w:p w14:paraId="465071AA" w14:textId="12AC543A" w:rsidR="00FC279C" w:rsidRPr="00FC279C" w:rsidRDefault="00761E69" w:rsidP="00761E69">
      <w:pPr>
        <w:pStyle w:val="Heading2"/>
      </w:pPr>
      <w:r>
        <w:t>H</w:t>
      </w:r>
      <w:r w:rsidR="00FC279C" w:rsidRPr="00FC279C">
        <w:t>abitat Mapping</w:t>
      </w:r>
    </w:p>
    <w:p w14:paraId="172561A6" w14:textId="77777777" w:rsidR="00FC279C" w:rsidRPr="00FC279C" w:rsidRDefault="00FC279C" w:rsidP="009D7727">
      <w:pPr>
        <w:pStyle w:val="BodyText"/>
      </w:pPr>
      <w:r w:rsidRPr="00FC279C">
        <w:t>Habitat information is derived from biodiversity mapping datasets.</w:t>
      </w:r>
    </w:p>
    <w:p w14:paraId="101FEBD5" w14:textId="77777777" w:rsidR="00FC279C" w:rsidRPr="00FC279C" w:rsidRDefault="00FC279C" w:rsidP="009D7727">
      <w:pPr>
        <w:pStyle w:val="BodyText"/>
      </w:pPr>
      <w:r w:rsidRPr="00FC279C">
        <w:t xml:space="preserve">Within Hertfordshire, the methodology uses Biodiversity Baseline mapping commissioned by HCCSP using the </w:t>
      </w:r>
      <w:proofErr w:type="spellStart"/>
      <w:r w:rsidRPr="00FC279C">
        <w:t>UKHab</w:t>
      </w:r>
      <w:proofErr w:type="spellEnd"/>
      <w:r w:rsidRPr="00FC279C">
        <w:t xml:space="preserve"> classification system.</w:t>
      </w:r>
    </w:p>
    <w:p w14:paraId="33A70BA4" w14:textId="77777777" w:rsidR="00FC279C" w:rsidRPr="00FC279C" w:rsidRDefault="00FC279C" w:rsidP="009D7727">
      <w:pPr>
        <w:pStyle w:val="BodyText"/>
      </w:pPr>
      <w:r w:rsidRPr="00FC279C">
        <w:t>Habitats are translated into LULUCF categories to enable application of national carbon factors.</w:t>
      </w:r>
    </w:p>
    <w:p w14:paraId="1D5DA8B5" w14:textId="16285E7C" w:rsidR="00FC279C" w:rsidRPr="00FC279C" w:rsidRDefault="00FC279C" w:rsidP="00761E69">
      <w:pPr>
        <w:pStyle w:val="Heading2"/>
      </w:pPr>
      <w:r w:rsidRPr="00FC279C">
        <w:t>Land Ownership and Management Data</w:t>
      </w:r>
    </w:p>
    <w:p w14:paraId="2D1DEE30" w14:textId="77777777" w:rsidR="00FC279C" w:rsidRPr="00FC279C" w:rsidRDefault="00FC279C" w:rsidP="009D7727">
      <w:pPr>
        <w:pStyle w:val="BodyText"/>
      </w:pPr>
      <w:r w:rsidRPr="00FC279C">
        <w:t>Authorities supply land ownership or operational management datasets.</w:t>
      </w:r>
    </w:p>
    <w:p w14:paraId="70477762" w14:textId="77777777" w:rsidR="00FC279C" w:rsidRPr="00FC279C" w:rsidRDefault="00FC279C" w:rsidP="009D7727">
      <w:pPr>
        <w:pStyle w:val="BodyText"/>
      </w:pPr>
      <w:r w:rsidRPr="00FC279C">
        <w:t>These datasets are used to:</w:t>
      </w:r>
    </w:p>
    <w:p w14:paraId="00BBE38A" w14:textId="77777777" w:rsidR="00FC279C" w:rsidRPr="00FC279C" w:rsidRDefault="00FC279C" w:rsidP="00DB1018">
      <w:pPr>
        <w:pStyle w:val="BodyText"/>
        <w:numPr>
          <w:ilvl w:val="0"/>
          <w:numId w:val="24"/>
        </w:numPr>
      </w:pPr>
      <w:r w:rsidRPr="00FC279C">
        <w:t xml:space="preserve">determine reporting </w:t>
      </w:r>
      <w:proofErr w:type="gramStart"/>
      <w:r w:rsidRPr="00FC279C">
        <w:t>boundaries;</w:t>
      </w:r>
      <w:proofErr w:type="gramEnd"/>
      <w:r w:rsidRPr="00FC279C">
        <w:t xml:space="preserve"> </w:t>
      </w:r>
    </w:p>
    <w:p w14:paraId="4314DF34" w14:textId="77777777" w:rsidR="00FC279C" w:rsidRPr="00FC279C" w:rsidRDefault="00FC279C" w:rsidP="00DB1018">
      <w:pPr>
        <w:pStyle w:val="BodyText"/>
        <w:numPr>
          <w:ilvl w:val="0"/>
          <w:numId w:val="24"/>
        </w:numPr>
      </w:pPr>
      <w:r w:rsidRPr="00FC279C">
        <w:t xml:space="preserve">avoid double </w:t>
      </w:r>
      <w:proofErr w:type="gramStart"/>
      <w:r w:rsidRPr="00FC279C">
        <w:t>counting;</w:t>
      </w:r>
      <w:proofErr w:type="gramEnd"/>
      <w:r w:rsidRPr="00FC279C">
        <w:t xml:space="preserve"> </w:t>
      </w:r>
    </w:p>
    <w:p w14:paraId="12C39EF8" w14:textId="77777777" w:rsidR="00FC279C" w:rsidRPr="00FC279C" w:rsidRDefault="00FC279C" w:rsidP="00DB1018">
      <w:pPr>
        <w:pStyle w:val="BodyText"/>
        <w:numPr>
          <w:ilvl w:val="0"/>
          <w:numId w:val="24"/>
        </w:numPr>
      </w:pPr>
      <w:r w:rsidRPr="00FC279C">
        <w:t>allocate sequestration values to the appropriate organisation.</w:t>
      </w:r>
    </w:p>
    <w:p w14:paraId="7814AACF" w14:textId="0F6201F5" w:rsidR="003E2FFD" w:rsidRDefault="003E2FFD" w:rsidP="003E2FFD">
      <w:pPr>
        <w:pStyle w:val="Heading1"/>
      </w:pPr>
      <w:bookmarkStart w:id="17" w:name="_Toc214461845"/>
      <w:bookmarkStart w:id="18" w:name="_Ref231483377"/>
      <w:bookmarkStart w:id="19" w:name="_Toc231485121"/>
      <w:bookmarkEnd w:id="13"/>
      <w:bookmarkEnd w:id="14"/>
      <w:r>
        <w:t xml:space="preserve">Appendix </w:t>
      </w:r>
      <w:r w:rsidR="00761E69">
        <w:t>3</w:t>
      </w:r>
      <w:r>
        <w:t xml:space="preserve">: </w:t>
      </w:r>
      <w:r>
        <w:t>Other Methods considered</w:t>
      </w:r>
      <w:bookmarkEnd w:id="18"/>
      <w:bookmarkEnd w:id="19"/>
    </w:p>
    <w:p w14:paraId="4BE9BF3C" w14:textId="3FF367F1" w:rsidR="003E2FFD" w:rsidRPr="003E3F73" w:rsidRDefault="003E2FFD" w:rsidP="003E2FFD">
      <w:pPr>
        <w:spacing w:before="0" w:after="240"/>
        <w:rPr>
          <w:lang w:val="en-GB" w:eastAsia="en-GB"/>
        </w:rPr>
      </w:pPr>
      <w:r w:rsidRPr="003E3F73">
        <w:rPr>
          <w:lang w:val="en-GB" w:eastAsia="en-GB"/>
        </w:rPr>
        <w:t>Th</w:t>
      </w:r>
      <w:r>
        <w:rPr>
          <w:lang w:val="en-GB" w:eastAsia="en-GB"/>
        </w:rPr>
        <w:t>e</w:t>
      </w:r>
      <w:r w:rsidRPr="003E3F73">
        <w:rPr>
          <w:lang w:val="en-GB" w:eastAsia="en-GB"/>
        </w:rPr>
        <w:t xml:space="preserve"> </w:t>
      </w:r>
      <w:r>
        <w:rPr>
          <w:lang w:val="en-GB" w:eastAsia="en-GB"/>
        </w:rPr>
        <w:t xml:space="preserve">methodology operationalised through the </w:t>
      </w:r>
      <w:r w:rsidRPr="003E2FFD">
        <w:rPr>
          <w:i/>
          <w:iCs/>
          <w:lang w:val="en-GB" w:eastAsia="en-GB"/>
        </w:rPr>
        <w:t>HCCSP Green Asset Sequestration Tool for Local Authorities</w:t>
      </w:r>
      <w:r>
        <w:rPr>
          <w:lang w:val="en-GB" w:eastAsia="en-GB"/>
        </w:rPr>
        <w:t xml:space="preserve"> </w:t>
      </w:r>
      <w:r w:rsidRPr="003E3F73">
        <w:rPr>
          <w:lang w:val="en-GB" w:eastAsia="en-GB"/>
        </w:rPr>
        <w:t>balances analytical robustness with practical delivery.</w:t>
      </w:r>
      <w:r>
        <w:rPr>
          <w:lang w:val="en-GB" w:eastAsia="en-GB"/>
        </w:rPr>
        <w:t xml:space="preserve"> </w:t>
      </w:r>
      <w:r w:rsidRPr="003E3F73">
        <w:rPr>
          <w:lang w:val="en-GB" w:eastAsia="en-GB"/>
        </w:rPr>
        <w:t>While more detailed, site-specific methodologies can provide greater precision, they require significant resource and are not consistently applicable across all asset types.</w:t>
      </w:r>
      <w:r>
        <w:rPr>
          <w:lang w:val="en-GB" w:eastAsia="en-GB"/>
        </w:rPr>
        <w:t xml:space="preserve"> </w:t>
      </w:r>
      <w:r w:rsidRPr="003E3F73">
        <w:rPr>
          <w:lang w:val="en-GB" w:eastAsia="en-GB"/>
        </w:rPr>
        <w:t>The selected approach uses nationally derived data to provide a consistent, transparent, and proportionate estimate, suitable for strategic reporting and comparison across authorities.</w:t>
      </w:r>
    </w:p>
    <w:p w14:paraId="615A3A56" w14:textId="77777777" w:rsidR="003E2FFD" w:rsidRPr="000B0A7A" w:rsidRDefault="003E2FFD" w:rsidP="003E2FFD">
      <w:pPr>
        <w:spacing w:before="0" w:after="240"/>
        <w:rPr>
          <w:lang w:val="en-GB" w:eastAsia="en-GB"/>
        </w:rPr>
      </w:pPr>
      <w:r w:rsidRPr="000B0A7A">
        <w:rPr>
          <w:lang w:val="en-GB" w:eastAsia="en-GB"/>
        </w:rPr>
        <w:t>A range of alternative approaches were considered:</w:t>
      </w:r>
    </w:p>
    <w:p w14:paraId="5D7CD167" w14:textId="77777777" w:rsidR="003E2FFD" w:rsidRPr="000B0A7A" w:rsidRDefault="003E2FFD" w:rsidP="00DB1018">
      <w:pPr>
        <w:numPr>
          <w:ilvl w:val="0"/>
          <w:numId w:val="7"/>
        </w:numPr>
        <w:rPr>
          <w:lang w:val="en-GB" w:eastAsia="en-GB"/>
        </w:rPr>
      </w:pPr>
      <w:r w:rsidRPr="000B0A7A">
        <w:rPr>
          <w:b/>
          <w:bCs/>
          <w:lang w:val="en-GB" w:eastAsia="en-GB"/>
        </w:rPr>
        <w:t>Individual authority research (</w:t>
      </w:r>
      <w:r>
        <w:rPr>
          <w:b/>
          <w:bCs/>
          <w:lang w:val="en-GB" w:eastAsia="en-GB"/>
        </w:rPr>
        <w:t>as demonstrated by</w:t>
      </w:r>
      <w:r w:rsidRPr="000B0A7A">
        <w:rPr>
          <w:b/>
          <w:bCs/>
          <w:lang w:val="en-GB" w:eastAsia="en-GB"/>
        </w:rPr>
        <w:t xml:space="preserve"> Darlington Council):</w:t>
      </w:r>
      <w:r w:rsidRPr="000B0A7A">
        <w:rPr>
          <w:lang w:val="en-GB" w:eastAsia="en-GB"/>
        </w:rPr>
        <w:t xml:space="preserve"> A comprehensive carbon assessment including biannual soil analysis, measurement of tree growth in parkland, and woodland age and density assessments (using increment borers). While highly detailed, such studies </w:t>
      </w:r>
      <w:r>
        <w:rPr>
          <w:lang w:val="en-GB" w:eastAsia="en-GB"/>
        </w:rPr>
        <w:t>require significant resources</w:t>
      </w:r>
      <w:r w:rsidRPr="000B0A7A">
        <w:rPr>
          <w:lang w:val="en-GB" w:eastAsia="en-GB"/>
        </w:rPr>
        <w:t xml:space="preserve"> with replication estimated at around £10,000, plus further costs for retesting and verification.</w:t>
      </w:r>
    </w:p>
    <w:p w14:paraId="187A464B" w14:textId="77777777" w:rsidR="003E2FFD" w:rsidRPr="000B0A7A" w:rsidRDefault="003E2FFD" w:rsidP="00DB1018">
      <w:pPr>
        <w:numPr>
          <w:ilvl w:val="0"/>
          <w:numId w:val="7"/>
        </w:numPr>
        <w:rPr>
          <w:lang w:val="en-GB" w:eastAsia="en-GB"/>
        </w:rPr>
      </w:pPr>
      <w:r w:rsidRPr="000B0A7A">
        <w:rPr>
          <w:b/>
          <w:bCs/>
          <w:lang w:val="en-GB" w:eastAsia="en-GB"/>
        </w:rPr>
        <w:t>Individual tree assessments (</w:t>
      </w:r>
      <w:r>
        <w:rPr>
          <w:b/>
          <w:bCs/>
          <w:lang w:val="en-GB" w:eastAsia="en-GB"/>
        </w:rPr>
        <w:t>such as</w:t>
      </w:r>
      <w:r w:rsidRPr="000B0A7A">
        <w:rPr>
          <w:b/>
          <w:bCs/>
          <w:lang w:val="en-GB" w:eastAsia="en-GB"/>
        </w:rPr>
        <w:t xml:space="preserve"> </w:t>
      </w:r>
      <w:proofErr w:type="spellStart"/>
      <w:r w:rsidRPr="000B0A7A">
        <w:rPr>
          <w:b/>
          <w:bCs/>
          <w:lang w:val="en-GB" w:eastAsia="en-GB"/>
        </w:rPr>
        <w:t>i</w:t>
      </w:r>
      <w:proofErr w:type="spellEnd"/>
      <w:r w:rsidRPr="000B0A7A">
        <w:rPr>
          <w:b/>
          <w:bCs/>
          <w:lang w:val="en-GB" w:eastAsia="en-GB"/>
        </w:rPr>
        <w:t>-Tree):</w:t>
      </w:r>
      <w:r w:rsidRPr="000B0A7A">
        <w:rPr>
          <w:lang w:val="en-GB" w:eastAsia="en-GB"/>
        </w:rPr>
        <w:t xml:space="preserve"> This method uses data gathered through detailed monitoring of individual trees, often by grounds maintenance teams. It offers a high degree of accuracy but is resource-intensive to implement and only applicable to certain green asset types.</w:t>
      </w:r>
    </w:p>
    <w:p w14:paraId="25E777F9" w14:textId="77777777" w:rsidR="003E2FFD" w:rsidRPr="000B0A7A" w:rsidRDefault="003E2FFD" w:rsidP="00DB1018">
      <w:pPr>
        <w:numPr>
          <w:ilvl w:val="0"/>
          <w:numId w:val="7"/>
        </w:numPr>
        <w:spacing w:before="0" w:after="240"/>
        <w:ind w:left="714" w:hanging="357"/>
        <w:rPr>
          <w:lang w:val="en-GB" w:eastAsia="en-GB"/>
        </w:rPr>
      </w:pPr>
      <w:r w:rsidRPr="000B0A7A">
        <w:rPr>
          <w:b/>
          <w:bCs/>
          <w:lang w:val="en-GB" w:eastAsia="en-GB"/>
        </w:rPr>
        <w:t>Woodland Carbon Code:</w:t>
      </w:r>
      <w:r w:rsidRPr="000B0A7A">
        <w:rPr>
          <w:lang w:val="en-GB" w:eastAsia="en-GB"/>
        </w:rPr>
        <w:t xml:space="preserve"> A nationally recognised standard for assessing carbon sequestration from woodland creation and management projects. It provides robust, verifiable calculations aligned with UK forestry science and is widely used for generating carbon credits. However, its scope is largely limited to woodland settings and new planting schemes, making it less suitable for capturing the broader range of urban green infrastructure assets (such as street trees, hedgerows, parks, and grasslands) typically overseen by local authorities.</w:t>
      </w:r>
    </w:p>
    <w:p w14:paraId="3BF2654C" w14:textId="77777777" w:rsidR="003E2FFD" w:rsidRDefault="003E2FFD" w:rsidP="003E2FFD">
      <w:pPr>
        <w:rPr>
          <w:lang w:val="en-GB" w:eastAsia="en-GB"/>
        </w:rPr>
      </w:pPr>
      <w:r w:rsidRPr="000B0A7A">
        <w:rPr>
          <w:lang w:val="en-GB" w:eastAsia="en-GB"/>
        </w:rPr>
        <w:t xml:space="preserve">Given these considerations, </w:t>
      </w:r>
      <w:r>
        <w:rPr>
          <w:lang w:val="en-GB" w:eastAsia="en-GB"/>
        </w:rPr>
        <w:t xml:space="preserve">the GASTLA </w:t>
      </w:r>
      <w:r w:rsidRPr="000B0A7A">
        <w:rPr>
          <w:lang w:val="en-GB" w:eastAsia="en-GB"/>
        </w:rPr>
        <w:t>has</w:t>
      </w:r>
      <w:r>
        <w:rPr>
          <w:lang w:val="en-GB" w:eastAsia="en-GB"/>
        </w:rPr>
        <w:t xml:space="preserve"> </w:t>
      </w:r>
      <w:r w:rsidRPr="000B0A7A">
        <w:rPr>
          <w:lang w:val="en-GB" w:eastAsia="en-GB"/>
        </w:rPr>
        <w:t xml:space="preserve">been selected as the preferred approach. While </w:t>
      </w:r>
      <w:r>
        <w:rPr>
          <w:lang w:val="en-GB" w:eastAsia="en-GB"/>
        </w:rPr>
        <w:t>prudent</w:t>
      </w:r>
      <w:r w:rsidRPr="000B0A7A">
        <w:rPr>
          <w:lang w:val="en-GB" w:eastAsia="en-GB"/>
        </w:rPr>
        <w:t xml:space="preserve"> in its estimates, it provides a consistent, affordable, and practical framework for local authorities to use in the absence of the time and funding required for more detailed bespoke studies.</w:t>
      </w:r>
    </w:p>
    <w:p w14:paraId="5D24E648" w14:textId="77777777" w:rsidR="003E2FFD" w:rsidRDefault="003E2FFD" w:rsidP="003E2FFD">
      <w:pPr>
        <w:rPr>
          <w:lang w:val="en-GB" w:eastAsia="en-GB"/>
        </w:rPr>
      </w:pPr>
    </w:p>
    <w:p w14:paraId="6BA3318B" w14:textId="77777777" w:rsidR="003E2FFD" w:rsidRPr="00BE026D" w:rsidRDefault="003E2FFD" w:rsidP="003E2FFD">
      <w:pPr>
        <w:rPr>
          <w:b/>
          <w:bCs/>
          <w:lang w:val="en-GB" w:eastAsia="en-GB"/>
        </w:rPr>
      </w:pPr>
      <w:r w:rsidRPr="00BE026D">
        <w:rPr>
          <w:b/>
          <w:bCs/>
          <w:lang w:val="en-GB" w:eastAsia="en-GB"/>
        </w:rPr>
        <w:t>Comparison of Sequestration Calculation Approaches Considered</w:t>
      </w:r>
    </w:p>
    <w:tbl>
      <w:tblPr>
        <w:tblW w:w="9781" w:type="dxa"/>
        <w:tblCellSpacing w:w="15" w:type="dxa"/>
        <w:tblCellMar>
          <w:top w:w="15" w:type="dxa"/>
          <w:left w:w="15" w:type="dxa"/>
          <w:bottom w:w="15" w:type="dxa"/>
          <w:right w:w="15" w:type="dxa"/>
        </w:tblCellMar>
        <w:tblLook w:val="04A0" w:firstRow="1" w:lastRow="0" w:firstColumn="1" w:lastColumn="0" w:noHBand="0" w:noVBand="1"/>
      </w:tblPr>
      <w:tblGrid>
        <w:gridCol w:w="2103"/>
        <w:gridCol w:w="2344"/>
        <w:gridCol w:w="3018"/>
        <w:gridCol w:w="2316"/>
      </w:tblGrid>
      <w:tr w:rsidR="003E2FFD" w:rsidRPr="00BE026D" w14:paraId="525B5A88" w14:textId="77777777" w:rsidTr="00827BFE">
        <w:trPr>
          <w:tblHeader/>
          <w:tblCellSpacing w:w="15" w:type="dxa"/>
        </w:trPr>
        <w:tc>
          <w:tcPr>
            <w:tcW w:w="0" w:type="auto"/>
            <w:vAlign w:val="center"/>
            <w:hideMark/>
          </w:tcPr>
          <w:p w14:paraId="6EB09615" w14:textId="77777777" w:rsidR="003E2FFD" w:rsidRPr="00BE026D" w:rsidRDefault="003E2FFD" w:rsidP="00827BFE">
            <w:pPr>
              <w:rPr>
                <w:b/>
                <w:bCs/>
                <w:lang w:val="en-GB" w:eastAsia="en-GB"/>
              </w:rPr>
            </w:pPr>
          </w:p>
        </w:tc>
        <w:tc>
          <w:tcPr>
            <w:tcW w:w="0" w:type="auto"/>
            <w:vAlign w:val="center"/>
            <w:hideMark/>
          </w:tcPr>
          <w:p w14:paraId="077A95C0" w14:textId="77777777" w:rsidR="003E2FFD" w:rsidRPr="00BE026D" w:rsidRDefault="003E2FFD" w:rsidP="00827BFE">
            <w:pPr>
              <w:rPr>
                <w:b/>
                <w:bCs/>
                <w:lang w:val="en-GB" w:eastAsia="en-GB"/>
              </w:rPr>
            </w:pPr>
            <w:r w:rsidRPr="00BE026D">
              <w:rPr>
                <w:b/>
                <w:bCs/>
                <w:lang w:val="en-GB" w:eastAsia="en-GB"/>
              </w:rPr>
              <w:t>Strengths</w:t>
            </w:r>
          </w:p>
        </w:tc>
        <w:tc>
          <w:tcPr>
            <w:tcW w:w="0" w:type="auto"/>
            <w:vAlign w:val="center"/>
            <w:hideMark/>
          </w:tcPr>
          <w:p w14:paraId="04CF8C71" w14:textId="77777777" w:rsidR="003E2FFD" w:rsidRPr="00BE026D" w:rsidRDefault="003E2FFD" w:rsidP="00827BFE">
            <w:pPr>
              <w:rPr>
                <w:b/>
                <w:bCs/>
                <w:lang w:val="en-GB" w:eastAsia="en-GB"/>
              </w:rPr>
            </w:pPr>
            <w:r w:rsidRPr="00BE026D">
              <w:rPr>
                <w:b/>
                <w:bCs/>
                <w:lang w:val="en-GB" w:eastAsia="en-GB"/>
              </w:rPr>
              <w:t>Limitations</w:t>
            </w:r>
          </w:p>
        </w:tc>
        <w:tc>
          <w:tcPr>
            <w:tcW w:w="2271" w:type="dxa"/>
            <w:vAlign w:val="center"/>
            <w:hideMark/>
          </w:tcPr>
          <w:p w14:paraId="294B8C8A" w14:textId="77777777" w:rsidR="003E2FFD" w:rsidRPr="00BE026D" w:rsidRDefault="003E2FFD" w:rsidP="00827BFE">
            <w:pPr>
              <w:rPr>
                <w:b/>
                <w:bCs/>
                <w:lang w:val="en-GB" w:eastAsia="en-GB"/>
              </w:rPr>
            </w:pPr>
            <w:r w:rsidRPr="00BE026D">
              <w:rPr>
                <w:b/>
                <w:bCs/>
                <w:lang w:val="en-GB" w:eastAsia="en-GB"/>
              </w:rPr>
              <w:t>Suitability for LAs</w:t>
            </w:r>
          </w:p>
        </w:tc>
      </w:tr>
      <w:tr w:rsidR="003E2FFD" w:rsidRPr="00BE026D" w14:paraId="434B7050" w14:textId="77777777" w:rsidTr="00827BFE">
        <w:trPr>
          <w:tblCellSpacing w:w="15" w:type="dxa"/>
        </w:trPr>
        <w:tc>
          <w:tcPr>
            <w:tcW w:w="0" w:type="auto"/>
            <w:vAlign w:val="center"/>
            <w:hideMark/>
          </w:tcPr>
          <w:p w14:paraId="15ACE96D" w14:textId="77777777" w:rsidR="003E2FFD" w:rsidRPr="00BE026D" w:rsidRDefault="003E2FFD" w:rsidP="00827BFE">
            <w:pPr>
              <w:rPr>
                <w:lang w:val="en-GB" w:eastAsia="en-GB"/>
              </w:rPr>
            </w:pPr>
            <w:r w:rsidRPr="00BE026D">
              <w:rPr>
                <w:b/>
                <w:bCs/>
                <w:lang w:val="en-GB" w:eastAsia="en-GB"/>
              </w:rPr>
              <w:t>Welsh LGA methodology (recommended)</w:t>
            </w:r>
          </w:p>
        </w:tc>
        <w:tc>
          <w:tcPr>
            <w:tcW w:w="0" w:type="auto"/>
            <w:vAlign w:val="center"/>
            <w:hideMark/>
          </w:tcPr>
          <w:p w14:paraId="2583C228" w14:textId="77777777" w:rsidR="003E2FFD" w:rsidRPr="00BE026D" w:rsidRDefault="003E2FFD" w:rsidP="00827BFE">
            <w:pPr>
              <w:rPr>
                <w:lang w:val="en-GB" w:eastAsia="en-GB"/>
              </w:rPr>
            </w:pPr>
            <w:r w:rsidRPr="00BE026D">
              <w:rPr>
                <w:lang w:val="en-GB" w:eastAsia="en-GB"/>
              </w:rPr>
              <w:t xml:space="preserve">Nationally endorsed; </w:t>
            </w:r>
            <w:proofErr w:type="gramStart"/>
            <w:r w:rsidRPr="00BE026D">
              <w:rPr>
                <w:lang w:val="en-GB" w:eastAsia="en-GB"/>
              </w:rPr>
              <w:t>open-source</w:t>
            </w:r>
            <w:proofErr w:type="gramEnd"/>
            <w:r w:rsidRPr="00BE026D">
              <w:rPr>
                <w:lang w:val="en-GB" w:eastAsia="en-GB"/>
              </w:rPr>
              <w:t>; consistent across authorities; covers all land types; low cost; easy to replicate</w:t>
            </w:r>
          </w:p>
        </w:tc>
        <w:tc>
          <w:tcPr>
            <w:tcW w:w="0" w:type="auto"/>
            <w:vAlign w:val="center"/>
            <w:hideMark/>
          </w:tcPr>
          <w:p w14:paraId="4ABC3DEA" w14:textId="77777777" w:rsidR="003E2FFD" w:rsidRPr="00BE026D" w:rsidRDefault="003E2FFD" w:rsidP="00827BFE">
            <w:pPr>
              <w:rPr>
                <w:lang w:val="en-GB" w:eastAsia="en-GB"/>
              </w:rPr>
            </w:pPr>
            <w:r w:rsidRPr="00BE026D">
              <w:rPr>
                <w:lang w:val="en-GB" w:eastAsia="en-GB"/>
              </w:rPr>
              <w:t>Provides prudent (not site-specific) estimates; less sensitive to small management changes</w:t>
            </w:r>
          </w:p>
        </w:tc>
        <w:tc>
          <w:tcPr>
            <w:tcW w:w="2271" w:type="dxa"/>
            <w:vAlign w:val="center"/>
            <w:hideMark/>
          </w:tcPr>
          <w:p w14:paraId="32A01B7E" w14:textId="77777777" w:rsidR="003E2FFD" w:rsidRPr="00BE026D" w:rsidRDefault="003E2FFD" w:rsidP="00827BFE">
            <w:pPr>
              <w:rPr>
                <w:lang w:val="en-GB" w:eastAsia="en-GB"/>
              </w:rPr>
            </w:pPr>
            <w:r w:rsidRPr="00BE026D">
              <w:rPr>
                <w:b/>
                <w:bCs/>
                <w:lang w:val="en-GB" w:eastAsia="en-GB"/>
              </w:rPr>
              <w:t>High</w:t>
            </w:r>
            <w:r w:rsidRPr="00BE026D">
              <w:rPr>
                <w:lang w:val="en-GB" w:eastAsia="en-GB"/>
              </w:rPr>
              <w:t xml:space="preserve"> – balanced, credible, proportionate</w:t>
            </w:r>
          </w:p>
        </w:tc>
      </w:tr>
      <w:tr w:rsidR="003E2FFD" w:rsidRPr="00BE026D" w14:paraId="7396D830" w14:textId="77777777" w:rsidTr="00827BFE">
        <w:trPr>
          <w:tblCellSpacing w:w="15" w:type="dxa"/>
        </w:trPr>
        <w:tc>
          <w:tcPr>
            <w:tcW w:w="0" w:type="auto"/>
            <w:vAlign w:val="center"/>
            <w:hideMark/>
          </w:tcPr>
          <w:p w14:paraId="4020881A" w14:textId="77777777" w:rsidR="003E2FFD" w:rsidRPr="00BE026D" w:rsidRDefault="003E2FFD" w:rsidP="00827BFE">
            <w:pPr>
              <w:rPr>
                <w:lang w:val="en-GB" w:eastAsia="en-GB"/>
              </w:rPr>
            </w:pPr>
            <w:r w:rsidRPr="00BE026D">
              <w:rPr>
                <w:b/>
                <w:bCs/>
                <w:lang w:val="en-GB" w:eastAsia="en-GB"/>
              </w:rPr>
              <w:t>Darlington-style bespoke assessment</w:t>
            </w:r>
          </w:p>
        </w:tc>
        <w:tc>
          <w:tcPr>
            <w:tcW w:w="0" w:type="auto"/>
            <w:vAlign w:val="center"/>
            <w:hideMark/>
          </w:tcPr>
          <w:p w14:paraId="3B121B85" w14:textId="77777777" w:rsidR="003E2FFD" w:rsidRPr="00BE026D" w:rsidRDefault="003E2FFD" w:rsidP="00827BFE">
            <w:pPr>
              <w:rPr>
                <w:lang w:val="en-GB" w:eastAsia="en-GB"/>
              </w:rPr>
            </w:pPr>
            <w:r w:rsidRPr="00BE026D">
              <w:rPr>
                <w:lang w:val="en-GB" w:eastAsia="en-GB"/>
              </w:rPr>
              <w:t>Highly accurate; includes soil testing, tree growth measurement</w:t>
            </w:r>
          </w:p>
        </w:tc>
        <w:tc>
          <w:tcPr>
            <w:tcW w:w="0" w:type="auto"/>
            <w:vAlign w:val="center"/>
            <w:hideMark/>
          </w:tcPr>
          <w:p w14:paraId="40B6A17F" w14:textId="77777777" w:rsidR="003E2FFD" w:rsidRPr="00BE026D" w:rsidRDefault="003E2FFD" w:rsidP="00827BFE">
            <w:pPr>
              <w:rPr>
                <w:lang w:val="en-GB" w:eastAsia="en-GB"/>
              </w:rPr>
            </w:pPr>
            <w:r w:rsidRPr="00BE026D">
              <w:rPr>
                <w:lang w:val="en-GB" w:eastAsia="en-GB"/>
              </w:rPr>
              <w:t>Expensive; resource-intensive; requires specialist equipment and repeat surveys</w:t>
            </w:r>
          </w:p>
        </w:tc>
        <w:tc>
          <w:tcPr>
            <w:tcW w:w="2271" w:type="dxa"/>
            <w:vAlign w:val="center"/>
            <w:hideMark/>
          </w:tcPr>
          <w:p w14:paraId="395E595B" w14:textId="77777777" w:rsidR="003E2FFD" w:rsidRPr="00BE026D" w:rsidRDefault="003E2FFD" w:rsidP="00827BFE">
            <w:pPr>
              <w:rPr>
                <w:lang w:val="en-GB" w:eastAsia="en-GB"/>
              </w:rPr>
            </w:pPr>
            <w:r w:rsidRPr="00BE026D">
              <w:rPr>
                <w:b/>
                <w:bCs/>
                <w:lang w:val="en-GB" w:eastAsia="en-GB"/>
              </w:rPr>
              <w:t>Low–Medium</w:t>
            </w:r>
            <w:r w:rsidRPr="00BE026D">
              <w:rPr>
                <w:lang w:val="en-GB" w:eastAsia="en-GB"/>
              </w:rPr>
              <w:t xml:space="preserve"> – only feasible for authorities with significant resources</w:t>
            </w:r>
          </w:p>
        </w:tc>
      </w:tr>
      <w:tr w:rsidR="003E2FFD" w:rsidRPr="00BE026D" w14:paraId="68E22D5F" w14:textId="77777777" w:rsidTr="00827BFE">
        <w:trPr>
          <w:tblCellSpacing w:w="15" w:type="dxa"/>
        </w:trPr>
        <w:tc>
          <w:tcPr>
            <w:tcW w:w="0" w:type="auto"/>
            <w:vAlign w:val="center"/>
            <w:hideMark/>
          </w:tcPr>
          <w:p w14:paraId="7CF0AB5C" w14:textId="77777777" w:rsidR="003E2FFD" w:rsidRPr="00BE026D" w:rsidRDefault="003E2FFD" w:rsidP="00827BFE">
            <w:pPr>
              <w:rPr>
                <w:lang w:val="en-GB" w:eastAsia="en-GB"/>
              </w:rPr>
            </w:pPr>
            <w:proofErr w:type="spellStart"/>
            <w:r w:rsidRPr="00BE026D">
              <w:rPr>
                <w:b/>
                <w:bCs/>
                <w:lang w:val="en-GB" w:eastAsia="en-GB"/>
              </w:rPr>
              <w:t>i</w:t>
            </w:r>
            <w:proofErr w:type="spellEnd"/>
            <w:r w:rsidRPr="00BE026D">
              <w:rPr>
                <w:b/>
                <w:bCs/>
                <w:lang w:val="en-GB" w:eastAsia="en-GB"/>
              </w:rPr>
              <w:t>-Tree (individual tree assessment)</w:t>
            </w:r>
          </w:p>
        </w:tc>
        <w:tc>
          <w:tcPr>
            <w:tcW w:w="0" w:type="auto"/>
            <w:vAlign w:val="center"/>
            <w:hideMark/>
          </w:tcPr>
          <w:p w14:paraId="37EAE76D" w14:textId="77777777" w:rsidR="003E2FFD" w:rsidRPr="00BE026D" w:rsidRDefault="003E2FFD" w:rsidP="00827BFE">
            <w:pPr>
              <w:rPr>
                <w:lang w:val="en-GB" w:eastAsia="en-GB"/>
              </w:rPr>
            </w:pPr>
            <w:r w:rsidRPr="00BE026D">
              <w:rPr>
                <w:lang w:val="en-GB" w:eastAsia="en-GB"/>
              </w:rPr>
              <w:t>Precise for individual trees; practical for urban trees</w:t>
            </w:r>
          </w:p>
        </w:tc>
        <w:tc>
          <w:tcPr>
            <w:tcW w:w="0" w:type="auto"/>
            <w:vAlign w:val="center"/>
            <w:hideMark/>
          </w:tcPr>
          <w:p w14:paraId="49BD15F1" w14:textId="77777777" w:rsidR="003E2FFD" w:rsidRPr="00BE026D" w:rsidRDefault="003E2FFD" w:rsidP="00827BFE">
            <w:pPr>
              <w:rPr>
                <w:lang w:val="en-GB" w:eastAsia="en-GB"/>
              </w:rPr>
            </w:pPr>
            <w:r w:rsidRPr="00BE026D">
              <w:rPr>
                <w:lang w:val="en-GB" w:eastAsia="en-GB"/>
              </w:rPr>
              <w:t>Does not cover grassland, wetland, soil carbon; time-intensive</w:t>
            </w:r>
          </w:p>
        </w:tc>
        <w:tc>
          <w:tcPr>
            <w:tcW w:w="2271" w:type="dxa"/>
            <w:vAlign w:val="center"/>
            <w:hideMark/>
          </w:tcPr>
          <w:p w14:paraId="75FF941E" w14:textId="77777777" w:rsidR="003E2FFD" w:rsidRPr="00BE026D" w:rsidRDefault="003E2FFD" w:rsidP="00827BFE">
            <w:pPr>
              <w:rPr>
                <w:lang w:val="en-GB" w:eastAsia="en-GB"/>
              </w:rPr>
            </w:pPr>
            <w:r w:rsidRPr="00BE026D">
              <w:rPr>
                <w:b/>
                <w:bCs/>
                <w:lang w:val="en-GB" w:eastAsia="en-GB"/>
              </w:rPr>
              <w:t>Low</w:t>
            </w:r>
            <w:r w:rsidRPr="00BE026D">
              <w:rPr>
                <w:lang w:val="en-GB" w:eastAsia="en-GB"/>
              </w:rPr>
              <w:t xml:space="preserve"> – not comprehensive enough</w:t>
            </w:r>
          </w:p>
        </w:tc>
      </w:tr>
      <w:tr w:rsidR="003E2FFD" w:rsidRPr="00BE026D" w14:paraId="58903893" w14:textId="77777777" w:rsidTr="00827BFE">
        <w:trPr>
          <w:tblCellSpacing w:w="15" w:type="dxa"/>
        </w:trPr>
        <w:tc>
          <w:tcPr>
            <w:tcW w:w="0" w:type="auto"/>
            <w:vAlign w:val="center"/>
            <w:hideMark/>
          </w:tcPr>
          <w:p w14:paraId="47F373B2" w14:textId="77777777" w:rsidR="003E2FFD" w:rsidRPr="00BE026D" w:rsidRDefault="003E2FFD" w:rsidP="00827BFE">
            <w:pPr>
              <w:rPr>
                <w:lang w:val="en-GB" w:eastAsia="en-GB"/>
              </w:rPr>
            </w:pPr>
            <w:r w:rsidRPr="00BE026D">
              <w:rPr>
                <w:b/>
                <w:bCs/>
                <w:lang w:val="en-GB" w:eastAsia="en-GB"/>
              </w:rPr>
              <w:t>Woodland Carbon Code</w:t>
            </w:r>
          </w:p>
        </w:tc>
        <w:tc>
          <w:tcPr>
            <w:tcW w:w="0" w:type="auto"/>
            <w:vAlign w:val="center"/>
            <w:hideMark/>
          </w:tcPr>
          <w:p w14:paraId="61AA59DD" w14:textId="77777777" w:rsidR="003E2FFD" w:rsidRPr="00BE026D" w:rsidRDefault="003E2FFD" w:rsidP="00827BFE">
            <w:pPr>
              <w:rPr>
                <w:lang w:val="en-GB" w:eastAsia="en-GB"/>
              </w:rPr>
            </w:pPr>
            <w:r w:rsidRPr="00BE026D">
              <w:rPr>
                <w:lang w:val="en-GB" w:eastAsia="en-GB"/>
              </w:rPr>
              <w:t>Robust, regulated; suitable for generating carbon credits</w:t>
            </w:r>
          </w:p>
        </w:tc>
        <w:tc>
          <w:tcPr>
            <w:tcW w:w="0" w:type="auto"/>
            <w:vAlign w:val="center"/>
            <w:hideMark/>
          </w:tcPr>
          <w:p w14:paraId="5F466A32" w14:textId="77777777" w:rsidR="003E2FFD" w:rsidRPr="00BE026D" w:rsidRDefault="003E2FFD" w:rsidP="00827BFE">
            <w:pPr>
              <w:rPr>
                <w:lang w:val="en-GB" w:eastAsia="en-GB"/>
              </w:rPr>
            </w:pPr>
            <w:r w:rsidRPr="00BE026D">
              <w:rPr>
                <w:lang w:val="en-GB" w:eastAsia="en-GB"/>
              </w:rPr>
              <w:t>Only applies to woodland creation/management; excludes grassland, parks, wetlands</w:t>
            </w:r>
          </w:p>
        </w:tc>
        <w:tc>
          <w:tcPr>
            <w:tcW w:w="2271" w:type="dxa"/>
            <w:vAlign w:val="center"/>
            <w:hideMark/>
          </w:tcPr>
          <w:p w14:paraId="2B64E41F" w14:textId="77777777" w:rsidR="003E2FFD" w:rsidRPr="00BE026D" w:rsidRDefault="003E2FFD" w:rsidP="00827BFE">
            <w:pPr>
              <w:rPr>
                <w:lang w:val="en-GB" w:eastAsia="en-GB"/>
              </w:rPr>
            </w:pPr>
            <w:r w:rsidRPr="00BE026D">
              <w:rPr>
                <w:b/>
                <w:bCs/>
                <w:lang w:val="en-GB" w:eastAsia="en-GB"/>
              </w:rPr>
              <w:t>Medium</w:t>
            </w:r>
            <w:r w:rsidRPr="00BE026D">
              <w:rPr>
                <w:lang w:val="en-GB" w:eastAsia="en-GB"/>
              </w:rPr>
              <w:t xml:space="preserve"> – useful for woodland but insufficient as a whole-estate method</w:t>
            </w:r>
          </w:p>
        </w:tc>
      </w:tr>
      <w:tr w:rsidR="003E2FFD" w:rsidRPr="00BE026D" w14:paraId="50493703" w14:textId="77777777" w:rsidTr="00827BFE">
        <w:trPr>
          <w:tblCellSpacing w:w="15" w:type="dxa"/>
        </w:trPr>
        <w:tc>
          <w:tcPr>
            <w:tcW w:w="0" w:type="auto"/>
            <w:vAlign w:val="center"/>
            <w:hideMark/>
          </w:tcPr>
          <w:p w14:paraId="2FD74BE6" w14:textId="77777777" w:rsidR="003E2FFD" w:rsidRPr="00BE026D" w:rsidRDefault="003E2FFD" w:rsidP="00827BFE">
            <w:pPr>
              <w:rPr>
                <w:lang w:val="en-GB" w:eastAsia="en-GB"/>
              </w:rPr>
            </w:pPr>
            <w:r w:rsidRPr="00BE026D">
              <w:rPr>
                <w:b/>
                <w:bCs/>
                <w:lang w:val="en-GB" w:eastAsia="en-GB"/>
              </w:rPr>
              <w:t>Commercial carbon consultancies</w:t>
            </w:r>
          </w:p>
        </w:tc>
        <w:tc>
          <w:tcPr>
            <w:tcW w:w="0" w:type="auto"/>
            <w:vAlign w:val="center"/>
            <w:hideMark/>
          </w:tcPr>
          <w:p w14:paraId="718790FE" w14:textId="77777777" w:rsidR="003E2FFD" w:rsidRPr="00BE026D" w:rsidRDefault="003E2FFD" w:rsidP="00827BFE">
            <w:pPr>
              <w:rPr>
                <w:lang w:val="en-GB" w:eastAsia="en-GB"/>
              </w:rPr>
            </w:pPr>
            <w:r w:rsidRPr="00BE026D">
              <w:rPr>
                <w:lang w:val="en-GB" w:eastAsia="en-GB"/>
              </w:rPr>
              <w:t>Fully bespoke; potentially high precision</w:t>
            </w:r>
          </w:p>
        </w:tc>
        <w:tc>
          <w:tcPr>
            <w:tcW w:w="0" w:type="auto"/>
            <w:vAlign w:val="center"/>
            <w:hideMark/>
          </w:tcPr>
          <w:p w14:paraId="78D24353" w14:textId="77777777" w:rsidR="003E2FFD" w:rsidRPr="00BE026D" w:rsidRDefault="003E2FFD" w:rsidP="00827BFE">
            <w:pPr>
              <w:rPr>
                <w:lang w:val="en-GB" w:eastAsia="en-GB"/>
              </w:rPr>
            </w:pPr>
            <w:r w:rsidRPr="00BE026D">
              <w:rPr>
                <w:lang w:val="en-GB" w:eastAsia="en-GB"/>
              </w:rPr>
              <w:t>High cost; proprietary methods; lack transparency</w:t>
            </w:r>
          </w:p>
        </w:tc>
        <w:tc>
          <w:tcPr>
            <w:tcW w:w="2271" w:type="dxa"/>
            <w:vAlign w:val="center"/>
            <w:hideMark/>
          </w:tcPr>
          <w:p w14:paraId="356DCC73" w14:textId="77777777" w:rsidR="003E2FFD" w:rsidRPr="00BE026D" w:rsidRDefault="003E2FFD" w:rsidP="00827BFE">
            <w:pPr>
              <w:rPr>
                <w:lang w:val="en-GB" w:eastAsia="en-GB"/>
              </w:rPr>
            </w:pPr>
            <w:r w:rsidRPr="00BE026D">
              <w:rPr>
                <w:b/>
                <w:bCs/>
                <w:lang w:val="en-GB" w:eastAsia="en-GB"/>
              </w:rPr>
              <w:t>Low</w:t>
            </w:r>
            <w:r w:rsidRPr="00BE026D">
              <w:rPr>
                <w:lang w:val="en-GB" w:eastAsia="en-GB"/>
              </w:rPr>
              <w:t xml:space="preserve"> – not replicable or consistent across authorities</w:t>
            </w:r>
          </w:p>
        </w:tc>
      </w:tr>
    </w:tbl>
    <w:p w14:paraId="2DBAF34D" w14:textId="77777777" w:rsidR="003E2FFD" w:rsidRDefault="003E2FFD">
      <w:pPr>
        <w:spacing w:before="0" w:after="0"/>
        <w:rPr>
          <w:rFonts w:eastAsia="Times New Roman" w:cs="Arial"/>
          <w:b/>
          <w:bCs/>
          <w:color w:val="76923C" w:themeColor="accent3" w:themeShade="BF"/>
          <w:sz w:val="28"/>
          <w:szCs w:val="24"/>
          <w:lang w:val="en-GB" w:eastAsia="en-GB"/>
        </w:rPr>
      </w:pPr>
      <w:r>
        <w:br w:type="page"/>
      </w:r>
    </w:p>
    <w:p w14:paraId="0F3CE104" w14:textId="7FB528E5" w:rsidR="000A7703" w:rsidRDefault="00201734" w:rsidP="000A7703">
      <w:pPr>
        <w:pStyle w:val="Heading1"/>
      </w:pPr>
      <w:bookmarkStart w:id="20" w:name="_Toc231485122"/>
      <w:r>
        <w:t xml:space="preserve">Appendix </w:t>
      </w:r>
      <w:r w:rsidR="00761E69">
        <w:t>4</w:t>
      </w:r>
      <w:r>
        <w:t xml:space="preserve">: </w:t>
      </w:r>
      <w:r w:rsidR="00CC40A1">
        <w:t>Boilerplate / Template</w:t>
      </w:r>
      <w:bookmarkEnd w:id="17"/>
      <w:bookmarkEnd w:id="20"/>
    </w:p>
    <w:p w14:paraId="782F9ADE" w14:textId="2CFD5F47" w:rsidR="008C1279" w:rsidRPr="000A7703" w:rsidRDefault="008C1279" w:rsidP="000A7703">
      <w:pPr>
        <w:rPr>
          <w:b/>
          <w:bCs/>
          <w:sz w:val="36"/>
          <w:szCs w:val="28"/>
        </w:rPr>
      </w:pPr>
      <w:r w:rsidRPr="000A7703">
        <w:rPr>
          <w:b/>
          <w:bCs/>
          <w:sz w:val="36"/>
          <w:szCs w:val="28"/>
        </w:rPr>
        <w:t xml:space="preserve">Template Boilerplate </w:t>
      </w:r>
      <w:r w:rsidR="008C79AB" w:rsidRPr="000A7703">
        <w:rPr>
          <w:b/>
          <w:bCs/>
          <w:sz w:val="36"/>
          <w:szCs w:val="28"/>
        </w:rPr>
        <w:t>Standards</w:t>
      </w:r>
      <w:r w:rsidR="003C7BA0" w:rsidRPr="000A7703">
        <w:rPr>
          <w:b/>
          <w:bCs/>
          <w:sz w:val="36"/>
          <w:szCs w:val="28"/>
        </w:rPr>
        <w:t xml:space="preserve"> </w:t>
      </w:r>
      <w:r w:rsidRPr="000A7703">
        <w:rPr>
          <w:b/>
          <w:bCs/>
          <w:sz w:val="36"/>
          <w:szCs w:val="28"/>
        </w:rPr>
        <w:t xml:space="preserve">for </w:t>
      </w:r>
      <w:r w:rsidR="007C1ACE" w:rsidRPr="000A7703">
        <w:rPr>
          <w:b/>
          <w:bCs/>
          <w:sz w:val="36"/>
          <w:szCs w:val="28"/>
        </w:rPr>
        <w:t>LAs</w:t>
      </w:r>
    </w:p>
    <w:p w14:paraId="2B2E68C4" w14:textId="77777777" w:rsidR="008C1279" w:rsidRDefault="008C1279" w:rsidP="008C1279">
      <w:pPr>
        <w:rPr>
          <w:lang w:val="en-GB" w:eastAsia="en-GB"/>
        </w:rPr>
      </w:pPr>
    </w:p>
    <w:p w14:paraId="705E63BD" w14:textId="77777777" w:rsidR="007A5133" w:rsidRPr="007A5133" w:rsidRDefault="007A5133" w:rsidP="007A5133">
      <w:pPr>
        <w:rPr>
          <w:b/>
          <w:bCs/>
          <w:lang w:val="en-GB" w:eastAsia="en-GB"/>
        </w:rPr>
      </w:pPr>
      <w:r w:rsidRPr="007A5133">
        <w:rPr>
          <w:b/>
          <w:bCs/>
          <w:lang w:val="en-GB" w:eastAsia="en-GB"/>
        </w:rPr>
        <w:t>Executive Summary</w:t>
      </w:r>
    </w:p>
    <w:p w14:paraId="70254DD5" w14:textId="77777777" w:rsidR="007A5133" w:rsidRPr="007A5133" w:rsidRDefault="007A5133" w:rsidP="007A5133">
      <w:pPr>
        <w:rPr>
          <w:lang w:val="en-GB" w:eastAsia="en-GB"/>
        </w:rPr>
      </w:pPr>
      <w:r w:rsidRPr="007A5133">
        <w:rPr>
          <w:lang w:val="en-GB" w:eastAsia="en-GB"/>
        </w:rPr>
        <w:t xml:space="preserve">This report seeks approval for the adoption of the </w:t>
      </w:r>
      <w:r w:rsidRPr="007A5133">
        <w:rPr>
          <w:i/>
          <w:iCs/>
          <w:lang w:val="en-GB" w:eastAsia="en-GB"/>
        </w:rPr>
        <w:t>Green Asset Sequestration Standard</w:t>
      </w:r>
      <w:r w:rsidRPr="007A5133">
        <w:rPr>
          <w:lang w:val="en-GB" w:eastAsia="en-GB"/>
        </w:rPr>
        <w:t>, which provides a consistent and transparent framework for calculating and reporting the carbon sequestration value of [Local Authority Name]’s green assets. The standard ensures that sequestration is reported alongside, but never in place of, emissions reduction, supporting our [carbon neutral / net zero] commitment by [date]. Developed in collaboration with regional partners through the Hertfordshire Climate Change and Sustainability Partnership (HCCSP), the framework uses nationally endorsed methodologies and locally verified data to provide credible, comparable reporting across all Hertfordshire authorities. Adoption of this standard will strengthen our governance, improve transparency, and align our approach with best practice and evolving legislation.</w:t>
      </w:r>
    </w:p>
    <w:p w14:paraId="18A514F6" w14:textId="613E6D12" w:rsidR="008C1279" w:rsidRPr="00D118A3" w:rsidRDefault="002162E8" w:rsidP="00FC279C">
      <w:pPr>
        <w:pStyle w:val="Subtitle"/>
        <w:rPr>
          <w:lang w:val="en-GB" w:eastAsia="en-GB"/>
        </w:rPr>
      </w:pPr>
      <w:r>
        <w:rPr>
          <w:lang w:val="en-GB" w:eastAsia="en-GB"/>
        </w:rPr>
        <w:t>Green Asset Sequestration</w:t>
      </w:r>
      <w:r w:rsidR="008C1279" w:rsidRPr="00D118A3">
        <w:rPr>
          <w:lang w:val="en-GB" w:eastAsia="en-GB"/>
        </w:rPr>
        <w:t xml:space="preserve"> </w:t>
      </w:r>
      <w:r w:rsidR="004B5346">
        <w:rPr>
          <w:lang w:val="en-GB" w:eastAsia="en-GB"/>
        </w:rPr>
        <w:t>Standard</w:t>
      </w:r>
    </w:p>
    <w:p w14:paraId="13C64C07" w14:textId="7C71514B" w:rsidR="001E7890" w:rsidRDefault="008C1279" w:rsidP="008C1279">
      <w:pPr>
        <w:pStyle w:val="NormalWeb"/>
        <w:rPr>
          <w:rFonts w:ascii="Arial" w:hAnsi="Arial" w:cs="Arial"/>
        </w:rPr>
      </w:pPr>
      <w:r w:rsidRPr="001E7890">
        <w:rPr>
          <w:rStyle w:val="Strong"/>
          <w:rFonts w:ascii="Arial" w:hAnsi="Arial" w:cs="Arial"/>
          <w:b w:val="0"/>
          <w:bCs w:val="0"/>
        </w:rPr>
        <w:t>[Local Authority Name]</w:t>
      </w:r>
      <w:r w:rsidRPr="00D118A3">
        <w:rPr>
          <w:rFonts w:ascii="Arial" w:hAnsi="Arial" w:cs="Arial"/>
        </w:rPr>
        <w:t xml:space="preserve"> </w:t>
      </w:r>
      <w:r w:rsidR="004E4A6D">
        <w:rPr>
          <w:rFonts w:ascii="Arial" w:hAnsi="Arial" w:cs="Arial"/>
        </w:rPr>
        <w:t xml:space="preserve">has </w:t>
      </w:r>
      <w:r w:rsidR="00915919">
        <w:rPr>
          <w:rFonts w:ascii="Arial" w:hAnsi="Arial" w:cs="Arial"/>
        </w:rPr>
        <w:t>committed to [</w:t>
      </w:r>
      <w:r w:rsidR="00563629">
        <w:rPr>
          <w:rFonts w:ascii="Arial" w:hAnsi="Arial" w:cs="Arial"/>
        </w:rPr>
        <w:t>Car</w:t>
      </w:r>
      <w:r w:rsidR="00CE791F">
        <w:rPr>
          <w:rFonts w:ascii="Arial" w:hAnsi="Arial" w:cs="Arial"/>
        </w:rPr>
        <w:t>b</w:t>
      </w:r>
      <w:r w:rsidR="00563629">
        <w:rPr>
          <w:rFonts w:ascii="Arial" w:hAnsi="Arial" w:cs="Arial"/>
        </w:rPr>
        <w:t>on neutral / net zero</w:t>
      </w:r>
      <w:r w:rsidR="00915919">
        <w:rPr>
          <w:rFonts w:ascii="Arial" w:hAnsi="Arial" w:cs="Arial"/>
        </w:rPr>
        <w:t xml:space="preserve">] </w:t>
      </w:r>
      <w:r w:rsidR="001B0459">
        <w:rPr>
          <w:rFonts w:ascii="Arial" w:hAnsi="Arial" w:cs="Arial"/>
        </w:rPr>
        <w:t>by [add date]</w:t>
      </w:r>
      <w:r w:rsidR="001E7890">
        <w:rPr>
          <w:rFonts w:ascii="Arial" w:hAnsi="Arial" w:cs="Arial"/>
        </w:rPr>
        <w:t xml:space="preserve">. </w:t>
      </w:r>
    </w:p>
    <w:p w14:paraId="67D75BE1" w14:textId="1997C0D2" w:rsidR="00654B69" w:rsidRDefault="00654B69" w:rsidP="008C1279">
      <w:pPr>
        <w:pStyle w:val="NormalWeb"/>
        <w:rPr>
          <w:rFonts w:ascii="Arial" w:hAnsi="Arial" w:cs="Arial"/>
        </w:rPr>
      </w:pPr>
      <w:r>
        <w:rPr>
          <w:rFonts w:ascii="Arial" w:hAnsi="Arial" w:cs="Arial"/>
        </w:rPr>
        <w:t>To</w:t>
      </w:r>
      <w:r w:rsidR="001E7890">
        <w:rPr>
          <w:rFonts w:ascii="Arial" w:hAnsi="Arial" w:cs="Arial"/>
        </w:rPr>
        <w:t xml:space="preserve"> achieve </w:t>
      </w:r>
      <w:r w:rsidR="00CE791F">
        <w:rPr>
          <w:rFonts w:ascii="Arial" w:hAnsi="Arial" w:cs="Arial"/>
        </w:rPr>
        <w:t>this</w:t>
      </w:r>
      <w:r w:rsidR="001E7890">
        <w:rPr>
          <w:rFonts w:ascii="Arial" w:hAnsi="Arial" w:cs="Arial"/>
        </w:rPr>
        <w:t xml:space="preserve"> commitment, </w:t>
      </w:r>
      <w:r w:rsidR="001E7890" w:rsidRPr="001E7890">
        <w:rPr>
          <w:rStyle w:val="Strong"/>
          <w:rFonts w:ascii="Arial" w:hAnsi="Arial" w:cs="Arial"/>
          <w:b w:val="0"/>
          <w:bCs w:val="0"/>
        </w:rPr>
        <w:t>[Local Authority Name]</w:t>
      </w:r>
      <w:r w:rsidR="001E7890" w:rsidRPr="00D118A3">
        <w:rPr>
          <w:rFonts w:ascii="Arial" w:hAnsi="Arial" w:cs="Arial"/>
        </w:rPr>
        <w:t xml:space="preserve"> </w:t>
      </w:r>
      <w:r w:rsidR="0093525C">
        <w:rPr>
          <w:rFonts w:ascii="Arial" w:hAnsi="Arial" w:cs="Arial"/>
        </w:rPr>
        <w:t xml:space="preserve">will </w:t>
      </w:r>
      <w:r w:rsidR="00CE791F">
        <w:rPr>
          <w:rFonts w:ascii="Arial" w:hAnsi="Arial" w:cs="Arial"/>
        </w:rPr>
        <w:t>prioritise reducing</w:t>
      </w:r>
      <w:r w:rsidR="00F47F28">
        <w:rPr>
          <w:rFonts w:ascii="Arial" w:hAnsi="Arial" w:cs="Arial"/>
        </w:rPr>
        <w:t xml:space="preserve"> </w:t>
      </w:r>
      <w:r w:rsidR="002162E8">
        <w:rPr>
          <w:rFonts w:ascii="Arial" w:hAnsi="Arial" w:cs="Arial"/>
        </w:rPr>
        <w:t>our</w:t>
      </w:r>
      <w:r w:rsidR="00F47F28">
        <w:rPr>
          <w:rFonts w:ascii="Arial" w:hAnsi="Arial" w:cs="Arial"/>
        </w:rPr>
        <w:t xml:space="preserve"> carbon footprint as </w:t>
      </w:r>
      <w:r w:rsidR="00CE791F">
        <w:rPr>
          <w:rFonts w:ascii="Arial" w:hAnsi="Arial" w:cs="Arial"/>
        </w:rPr>
        <w:t xml:space="preserve">far </w:t>
      </w:r>
      <w:r w:rsidR="00F47F28">
        <w:rPr>
          <w:rFonts w:ascii="Arial" w:hAnsi="Arial" w:cs="Arial"/>
        </w:rPr>
        <w:t>as possible</w:t>
      </w:r>
      <w:r w:rsidR="00CE791F">
        <w:rPr>
          <w:rFonts w:ascii="Arial" w:hAnsi="Arial" w:cs="Arial"/>
        </w:rPr>
        <w:t xml:space="preserve">. We will also factor </w:t>
      </w:r>
      <w:r w:rsidR="002162E8">
        <w:rPr>
          <w:rFonts w:ascii="Arial" w:hAnsi="Arial" w:cs="Arial"/>
        </w:rPr>
        <w:t xml:space="preserve">into our reported emissions the carbon sequestration value of our green assets. </w:t>
      </w:r>
    </w:p>
    <w:p w14:paraId="549BE89A" w14:textId="314BF958" w:rsidR="00654B69" w:rsidRDefault="007729AA" w:rsidP="008C1279">
      <w:pPr>
        <w:pStyle w:val="NormalWeb"/>
        <w:rPr>
          <w:rFonts w:ascii="Arial" w:hAnsi="Arial" w:cs="Arial"/>
        </w:rPr>
      </w:pPr>
      <w:r>
        <w:rPr>
          <w:rFonts w:ascii="Arial" w:hAnsi="Arial" w:cs="Arial"/>
        </w:rPr>
        <w:t xml:space="preserve">This </w:t>
      </w:r>
      <w:r w:rsidR="008C79AB">
        <w:rPr>
          <w:rFonts w:ascii="Arial" w:hAnsi="Arial" w:cs="Arial"/>
        </w:rPr>
        <w:t>standard</w:t>
      </w:r>
      <w:r>
        <w:rPr>
          <w:rFonts w:ascii="Arial" w:hAnsi="Arial" w:cs="Arial"/>
        </w:rPr>
        <w:t xml:space="preserve"> </w:t>
      </w:r>
      <w:r w:rsidR="00CE791F">
        <w:rPr>
          <w:rFonts w:ascii="Arial" w:hAnsi="Arial" w:cs="Arial"/>
        </w:rPr>
        <w:t>sets out</w:t>
      </w:r>
      <w:r w:rsidR="00C903E0">
        <w:rPr>
          <w:rFonts w:ascii="Arial" w:hAnsi="Arial" w:cs="Arial"/>
        </w:rPr>
        <w:t xml:space="preserve"> the principles and </w:t>
      </w:r>
      <w:r w:rsidR="00CE791F">
        <w:rPr>
          <w:rFonts w:ascii="Arial" w:hAnsi="Arial" w:cs="Arial"/>
        </w:rPr>
        <w:t xml:space="preserve">criteria </w:t>
      </w:r>
      <w:r w:rsidR="00C903E0">
        <w:rPr>
          <w:rFonts w:ascii="Arial" w:hAnsi="Arial" w:cs="Arial"/>
        </w:rPr>
        <w:t>th</w:t>
      </w:r>
      <w:r w:rsidR="007B3752">
        <w:rPr>
          <w:rFonts w:ascii="Arial" w:hAnsi="Arial" w:cs="Arial"/>
        </w:rPr>
        <w:t>at</w:t>
      </w:r>
      <w:r w:rsidR="00C903E0">
        <w:rPr>
          <w:rFonts w:ascii="Arial" w:hAnsi="Arial" w:cs="Arial"/>
        </w:rPr>
        <w:t xml:space="preserve"> </w:t>
      </w:r>
      <w:r w:rsidR="00B42FC4" w:rsidRPr="001E7890">
        <w:rPr>
          <w:rStyle w:val="Strong"/>
          <w:rFonts w:ascii="Arial" w:hAnsi="Arial" w:cs="Arial"/>
          <w:b w:val="0"/>
          <w:bCs w:val="0"/>
        </w:rPr>
        <w:t>[Local Authority Name]</w:t>
      </w:r>
      <w:r w:rsidR="00C903E0">
        <w:rPr>
          <w:rFonts w:ascii="Arial" w:hAnsi="Arial" w:cs="Arial"/>
        </w:rPr>
        <w:t xml:space="preserve"> will </w:t>
      </w:r>
      <w:r w:rsidR="00CE791F">
        <w:rPr>
          <w:rFonts w:ascii="Arial" w:hAnsi="Arial" w:cs="Arial"/>
        </w:rPr>
        <w:t xml:space="preserve">follow </w:t>
      </w:r>
      <w:r w:rsidR="00C903E0">
        <w:rPr>
          <w:rFonts w:ascii="Arial" w:hAnsi="Arial" w:cs="Arial"/>
        </w:rPr>
        <w:t>when</w:t>
      </w:r>
      <w:r w:rsidR="002162E8">
        <w:rPr>
          <w:rFonts w:ascii="Arial" w:hAnsi="Arial" w:cs="Arial"/>
        </w:rPr>
        <w:t xml:space="preserve"> reporting </w:t>
      </w:r>
      <w:r w:rsidR="00CE791F">
        <w:rPr>
          <w:rFonts w:ascii="Arial" w:hAnsi="Arial" w:cs="Arial"/>
        </w:rPr>
        <w:t xml:space="preserve">the </w:t>
      </w:r>
      <w:r w:rsidR="002162E8">
        <w:rPr>
          <w:rFonts w:ascii="Arial" w:hAnsi="Arial" w:cs="Arial"/>
        </w:rPr>
        <w:t>carbon sequestration of our green assets</w:t>
      </w:r>
      <w:r w:rsidR="00B42FC4">
        <w:rPr>
          <w:rFonts w:ascii="Arial" w:hAnsi="Arial" w:cs="Arial"/>
        </w:rPr>
        <w:t xml:space="preserve">. It </w:t>
      </w:r>
      <w:r w:rsidR="00CE791F">
        <w:rPr>
          <w:rFonts w:ascii="Arial" w:hAnsi="Arial" w:cs="Arial"/>
        </w:rPr>
        <w:t xml:space="preserve">provides a consistent organisational approach, ensures transparency in monitoring and supports credibility in reporting. </w:t>
      </w:r>
    </w:p>
    <w:p w14:paraId="63F8095E" w14:textId="663D6E7A" w:rsidR="008C1279" w:rsidRPr="00D118A3" w:rsidRDefault="008C1279" w:rsidP="00FC279C">
      <w:pPr>
        <w:pStyle w:val="Subtitle"/>
      </w:pPr>
      <w:bookmarkStart w:id="21" w:name="_Toc214461846"/>
      <w:r w:rsidRPr="003E2AB1">
        <w:rPr>
          <w:rStyle w:val="Strong"/>
          <w:b/>
        </w:rPr>
        <w:t>Scope and Purpose</w:t>
      </w:r>
      <w:bookmarkEnd w:id="21"/>
    </w:p>
    <w:p w14:paraId="3D8C3BA8" w14:textId="2218A854" w:rsidR="008C1279" w:rsidRPr="00CE791F" w:rsidRDefault="00CE791F" w:rsidP="00CE791F">
      <w:pPr>
        <w:spacing w:after="160"/>
        <w:rPr>
          <w:lang w:val="en-GB" w:eastAsia="en-GB"/>
        </w:rPr>
      </w:pPr>
      <w:r w:rsidRPr="00CE791F">
        <w:rPr>
          <w:lang w:val="en-GB" w:eastAsia="en-GB"/>
        </w:rPr>
        <w:t>This document establishes the principles and process that [Local Authority Name] will apply when calculating and reporting green asset sequestration values. It provides clarity for decision-makers, ensures transparency in monitoring and reporting, and supports alignment with regional partners and best practice.</w:t>
      </w:r>
    </w:p>
    <w:p w14:paraId="6A0936A1" w14:textId="5058CDCA" w:rsidR="008C1279" w:rsidRPr="00FC279C" w:rsidRDefault="002162E8" w:rsidP="00FC279C">
      <w:pPr>
        <w:pStyle w:val="Subtitle"/>
      </w:pPr>
      <w:bookmarkStart w:id="22" w:name="_Toc214461847"/>
      <w:r w:rsidRPr="00FC279C">
        <w:t>Green Asset Sequestration</w:t>
      </w:r>
      <w:r w:rsidR="008C1279" w:rsidRPr="00FC279C">
        <w:t xml:space="preserve"> </w:t>
      </w:r>
      <w:r w:rsidR="00F43581" w:rsidRPr="00FC279C">
        <w:t>Approach</w:t>
      </w:r>
      <w:bookmarkEnd w:id="22"/>
    </w:p>
    <w:p w14:paraId="79DB9572" w14:textId="63D6CDBB" w:rsidR="002162E8" w:rsidRDefault="002162E8" w:rsidP="002162E8">
      <w:pPr>
        <w:spacing w:after="160"/>
        <w:rPr>
          <w:lang w:val="en-GB" w:eastAsia="en-GB"/>
        </w:rPr>
      </w:pPr>
      <w:r>
        <w:rPr>
          <w:lang w:val="en-GB" w:eastAsia="en-GB"/>
        </w:rPr>
        <w:t>To reduce our operational carbon emissions and respond to our carbon reduction commitment, [Local Authority name] will apply the following:</w:t>
      </w:r>
    </w:p>
    <w:p w14:paraId="78013929" w14:textId="77777777" w:rsidR="002162E8" w:rsidRPr="003E7356" w:rsidRDefault="002162E8" w:rsidP="002162E8">
      <w:pPr>
        <w:rPr>
          <w:b/>
          <w:bCs/>
          <w:lang w:val="en-GB" w:eastAsia="en-GB"/>
        </w:rPr>
      </w:pPr>
      <w:r w:rsidRPr="003E7356">
        <w:rPr>
          <w:b/>
          <w:bCs/>
          <w:lang w:val="en-GB" w:eastAsia="en-GB"/>
        </w:rPr>
        <w:t>Principles</w:t>
      </w:r>
    </w:p>
    <w:p w14:paraId="61FAD8BF" w14:textId="4A820F21" w:rsidR="002162E8" w:rsidRDefault="002162E8" w:rsidP="00DB1018">
      <w:pPr>
        <w:pStyle w:val="ListParagraph"/>
        <w:numPr>
          <w:ilvl w:val="0"/>
          <w:numId w:val="4"/>
        </w:numPr>
        <w:rPr>
          <w:lang w:eastAsia="en-GB"/>
        </w:rPr>
      </w:pPr>
      <w:r>
        <w:rPr>
          <w:lang w:val="en-GB" w:eastAsia="en-GB"/>
        </w:rPr>
        <w:t xml:space="preserve">[Local Authority name] </w:t>
      </w:r>
      <w:r>
        <w:rPr>
          <w:lang w:eastAsia="en-GB"/>
        </w:rPr>
        <w:t>will not use sequestration values to justify increased emissions elsewhere or delay decarbonisation efforts.</w:t>
      </w:r>
    </w:p>
    <w:p w14:paraId="6F5A0527" w14:textId="4801EA76" w:rsidR="002162E8" w:rsidRDefault="002162E8" w:rsidP="00DB1018">
      <w:pPr>
        <w:pStyle w:val="ListParagraph"/>
        <w:numPr>
          <w:ilvl w:val="0"/>
          <w:numId w:val="4"/>
        </w:numPr>
        <w:rPr>
          <w:lang w:eastAsia="en-GB"/>
        </w:rPr>
      </w:pPr>
      <w:r>
        <w:rPr>
          <w:lang w:eastAsia="en-GB"/>
        </w:rPr>
        <w:t>Sequestration values will be based on peer-reviewed or government-endorsed sources and reflect net benefit over time.</w:t>
      </w:r>
    </w:p>
    <w:p w14:paraId="6B84AD57" w14:textId="4B4DEBEA" w:rsidR="002162E8" w:rsidRDefault="002162E8" w:rsidP="00DB1018">
      <w:pPr>
        <w:pStyle w:val="ListParagraph"/>
        <w:numPr>
          <w:ilvl w:val="0"/>
          <w:numId w:val="4"/>
        </w:numPr>
        <w:rPr>
          <w:lang w:eastAsia="en-GB"/>
        </w:rPr>
      </w:pPr>
      <w:r>
        <w:rPr>
          <w:lang w:eastAsia="en-GB"/>
        </w:rPr>
        <w:t>Sequestration values may be</w:t>
      </w:r>
      <w:r w:rsidR="00CE791F">
        <w:rPr>
          <w:lang w:eastAsia="en-GB"/>
        </w:rPr>
        <w:t xml:space="preserve"> referenced</w:t>
      </w:r>
      <w:r>
        <w:rPr>
          <w:lang w:eastAsia="en-GB"/>
        </w:rPr>
        <w:t xml:space="preserve"> in decarbonisation plans, investment business cases, and land use decision-making.</w:t>
      </w:r>
    </w:p>
    <w:p w14:paraId="5BFACC54" w14:textId="77777777" w:rsidR="002162E8" w:rsidRPr="003E7356" w:rsidRDefault="002162E8" w:rsidP="002162E8">
      <w:pPr>
        <w:rPr>
          <w:b/>
          <w:bCs/>
          <w:lang w:val="en-GB" w:eastAsia="en-GB"/>
        </w:rPr>
      </w:pPr>
      <w:r w:rsidRPr="003E7356">
        <w:rPr>
          <w:b/>
          <w:bCs/>
          <w:lang w:val="en-GB" w:eastAsia="en-GB"/>
        </w:rPr>
        <w:t xml:space="preserve">Criteria </w:t>
      </w:r>
    </w:p>
    <w:p w14:paraId="3F7D97BE" w14:textId="6452A8D3" w:rsidR="002162E8" w:rsidRPr="008341B1" w:rsidRDefault="002162E8" w:rsidP="00DB1018">
      <w:pPr>
        <w:pStyle w:val="ListParagraph"/>
        <w:numPr>
          <w:ilvl w:val="0"/>
          <w:numId w:val="4"/>
        </w:numPr>
        <w:rPr>
          <w:lang w:val="en-GB" w:eastAsia="en-GB"/>
        </w:rPr>
      </w:pPr>
      <w:r>
        <w:rPr>
          <w:lang w:val="en-GB" w:eastAsia="en-GB"/>
        </w:rPr>
        <w:t xml:space="preserve">[Local Authority name] will </w:t>
      </w:r>
      <w:r w:rsidR="00CE791F">
        <w:rPr>
          <w:lang w:val="en-GB" w:eastAsia="en-GB"/>
        </w:rPr>
        <w:t>work</w:t>
      </w:r>
      <w:r>
        <w:rPr>
          <w:lang w:val="en-GB" w:eastAsia="en-GB"/>
        </w:rPr>
        <w:t xml:space="preserve"> with stakeholders including public and private sector </w:t>
      </w:r>
      <w:r w:rsidR="00CE791F">
        <w:rPr>
          <w:lang w:val="en-GB" w:eastAsia="en-GB"/>
        </w:rPr>
        <w:t xml:space="preserve">partners </w:t>
      </w:r>
      <w:r>
        <w:rPr>
          <w:lang w:val="en-GB" w:eastAsia="en-GB"/>
        </w:rPr>
        <w:t xml:space="preserve">to ensure that </w:t>
      </w:r>
      <w:r w:rsidR="00CE791F">
        <w:rPr>
          <w:lang w:val="en-GB" w:eastAsia="en-GB"/>
        </w:rPr>
        <w:t>sequestration benefits</w:t>
      </w:r>
      <w:r>
        <w:rPr>
          <w:lang w:val="en-GB" w:eastAsia="en-GB"/>
        </w:rPr>
        <w:t xml:space="preserve"> are not </w:t>
      </w:r>
      <w:r>
        <w:rPr>
          <w:lang w:eastAsia="en-GB"/>
        </w:rPr>
        <w:t>d</w:t>
      </w:r>
      <w:r w:rsidRPr="00A5746F">
        <w:rPr>
          <w:lang w:eastAsia="en-GB"/>
        </w:rPr>
        <w:t>ouble count</w:t>
      </w:r>
      <w:r>
        <w:rPr>
          <w:lang w:eastAsia="en-GB"/>
        </w:rPr>
        <w:t xml:space="preserve">ed. </w:t>
      </w:r>
    </w:p>
    <w:p w14:paraId="50333D12" w14:textId="26757AE0" w:rsidR="002162E8" w:rsidRPr="008341B1" w:rsidRDefault="002162E8" w:rsidP="00DB1018">
      <w:pPr>
        <w:pStyle w:val="ListParagraph"/>
        <w:numPr>
          <w:ilvl w:val="0"/>
          <w:numId w:val="4"/>
        </w:numPr>
        <w:rPr>
          <w:lang w:val="en-GB" w:eastAsia="en-GB"/>
        </w:rPr>
      </w:pPr>
      <w:r>
        <w:rPr>
          <w:lang w:val="en-GB" w:eastAsia="en-GB"/>
        </w:rPr>
        <w:t xml:space="preserve">[Local Authority name] </w:t>
      </w:r>
      <w:r>
        <w:rPr>
          <w:lang w:eastAsia="en-GB"/>
        </w:rPr>
        <w:t xml:space="preserve">will use </w:t>
      </w:r>
      <w:r w:rsidR="00871B95">
        <w:rPr>
          <w:lang w:eastAsia="en-GB"/>
        </w:rPr>
        <w:t xml:space="preserve">prudent </w:t>
      </w:r>
      <w:r>
        <w:rPr>
          <w:lang w:eastAsia="en-GB"/>
        </w:rPr>
        <w:t>assumptions and transparent reporting</w:t>
      </w:r>
    </w:p>
    <w:p w14:paraId="14958CCF" w14:textId="2288DD5C" w:rsidR="00CE791F" w:rsidRPr="00CE791F" w:rsidRDefault="00CE791F" w:rsidP="00DB1018">
      <w:pPr>
        <w:pStyle w:val="ListParagraph"/>
        <w:numPr>
          <w:ilvl w:val="0"/>
          <w:numId w:val="4"/>
        </w:numPr>
        <w:rPr>
          <w:lang w:val="en-GB" w:eastAsia="en-GB"/>
        </w:rPr>
      </w:pPr>
      <w:r w:rsidRPr="00CE791F">
        <w:rPr>
          <w:lang w:val="en-GB" w:eastAsia="en-GB"/>
        </w:rPr>
        <w:t>Methodology will remain consistent, referencing the Welsh LGA Land and Carbon Sequestration and Storage Guidance and Tool.</w:t>
      </w:r>
    </w:p>
    <w:p w14:paraId="1198B033" w14:textId="343287B5" w:rsidR="002162E8" w:rsidRPr="00386AEB" w:rsidRDefault="002162E8" w:rsidP="00DB1018">
      <w:pPr>
        <w:pStyle w:val="ListParagraph"/>
        <w:numPr>
          <w:ilvl w:val="0"/>
          <w:numId w:val="4"/>
        </w:numPr>
        <w:rPr>
          <w:lang w:val="en-GB" w:eastAsia="en-GB"/>
        </w:rPr>
      </w:pPr>
      <w:r>
        <w:rPr>
          <w:lang w:eastAsia="en-GB"/>
        </w:rPr>
        <w:t xml:space="preserve">Carbon emissions factors will be applied to land types identified in the Biodiversity Baseline polygons. </w:t>
      </w:r>
    </w:p>
    <w:p w14:paraId="29AC6214" w14:textId="77777777" w:rsidR="002162E8" w:rsidRDefault="002162E8" w:rsidP="00DB1018">
      <w:pPr>
        <w:pStyle w:val="ListParagraph"/>
        <w:numPr>
          <w:ilvl w:val="0"/>
          <w:numId w:val="4"/>
        </w:numPr>
        <w:rPr>
          <w:lang w:val="en-GB" w:eastAsia="en-GB"/>
        </w:rPr>
      </w:pPr>
      <w:r>
        <w:rPr>
          <w:lang w:val="en-GB" w:eastAsia="en-GB"/>
        </w:rPr>
        <w:t xml:space="preserve">Habitat patches will be mapped using GPS land ownership data </w:t>
      </w:r>
    </w:p>
    <w:p w14:paraId="553B7307" w14:textId="3EE6374F" w:rsidR="002162E8" w:rsidRPr="00746268" w:rsidRDefault="002162E8" w:rsidP="00DB1018">
      <w:pPr>
        <w:pStyle w:val="ListParagraph"/>
        <w:numPr>
          <w:ilvl w:val="0"/>
          <w:numId w:val="4"/>
        </w:numPr>
        <w:rPr>
          <w:lang w:val="en-GB" w:eastAsia="en-GB"/>
        </w:rPr>
      </w:pPr>
      <w:r>
        <w:rPr>
          <w:lang w:eastAsia="en-GB"/>
        </w:rPr>
        <w:t xml:space="preserve">Annual carbon calculations will be </w:t>
      </w:r>
      <w:r w:rsidR="00F35B26">
        <w:rPr>
          <w:lang w:eastAsia="en-GB"/>
        </w:rPr>
        <w:t xml:space="preserve">calculated on a </w:t>
      </w:r>
      <w:r w:rsidR="007A5133">
        <w:rPr>
          <w:lang w:eastAsia="en-GB"/>
        </w:rPr>
        <w:t xml:space="preserve">net </w:t>
      </w:r>
      <w:r w:rsidR="00F35B26">
        <w:rPr>
          <w:lang w:eastAsia="en-GB"/>
        </w:rPr>
        <w:t>basis (absorbed min</w:t>
      </w:r>
      <w:r w:rsidR="00BE026D">
        <w:rPr>
          <w:lang w:eastAsia="en-GB"/>
        </w:rPr>
        <w:t>u</w:t>
      </w:r>
      <w:r w:rsidR="00F35B26">
        <w:rPr>
          <w:lang w:eastAsia="en-GB"/>
        </w:rPr>
        <w:t>s released)</w:t>
      </w:r>
      <w:r w:rsidR="00F35B26" w:rsidDel="00F35B26">
        <w:rPr>
          <w:lang w:eastAsia="en-GB"/>
        </w:rPr>
        <w:t xml:space="preserve"> </w:t>
      </w:r>
      <w:r>
        <w:rPr>
          <w:lang w:eastAsia="en-GB"/>
        </w:rPr>
        <w:t xml:space="preserve">using </w:t>
      </w:r>
      <w:r w:rsidR="00F35B26">
        <w:rPr>
          <w:lang w:eastAsia="en-GB"/>
        </w:rPr>
        <w:t>NAEI</w:t>
      </w:r>
      <w:r w:rsidR="00862E54">
        <w:rPr>
          <w:rStyle w:val="FootnoteReference"/>
          <w:lang w:eastAsia="en-GB"/>
        </w:rPr>
        <w:footnoteReference w:id="18"/>
      </w:r>
      <w:r w:rsidR="00F35B26">
        <w:rPr>
          <w:lang w:eastAsia="en-GB"/>
        </w:rPr>
        <w:t xml:space="preserve"> </w:t>
      </w:r>
      <w:r>
        <w:rPr>
          <w:lang w:eastAsia="en-GB"/>
        </w:rPr>
        <w:t>and LULUCF</w:t>
      </w:r>
      <w:r w:rsidR="00862E54">
        <w:rPr>
          <w:rStyle w:val="FootnoteReference"/>
          <w:lang w:eastAsia="en-GB"/>
        </w:rPr>
        <w:footnoteReference w:id="19"/>
      </w:r>
      <w:r>
        <w:rPr>
          <w:lang w:eastAsia="en-GB"/>
        </w:rPr>
        <w:t xml:space="preserve"> </w:t>
      </w:r>
      <w:r w:rsidR="00F35B26">
        <w:rPr>
          <w:lang w:eastAsia="en-GB"/>
        </w:rPr>
        <w:t>factors</w:t>
      </w:r>
      <w:r>
        <w:rPr>
          <w:lang w:eastAsia="en-GB"/>
        </w:rPr>
        <w:t xml:space="preserve">. </w:t>
      </w:r>
    </w:p>
    <w:p w14:paraId="64B8C49C" w14:textId="18F4F97D" w:rsidR="002162E8" w:rsidRPr="00751C4B" w:rsidRDefault="007A5133" w:rsidP="00DB1018">
      <w:pPr>
        <w:pStyle w:val="ListParagraph"/>
        <w:numPr>
          <w:ilvl w:val="0"/>
          <w:numId w:val="4"/>
        </w:numPr>
        <w:rPr>
          <w:lang w:val="en-GB" w:eastAsia="en-GB"/>
        </w:rPr>
      </w:pPr>
      <w:r>
        <w:rPr>
          <w:lang w:eastAsia="en-GB"/>
        </w:rPr>
        <w:t xml:space="preserve">The final reported </w:t>
      </w:r>
      <w:r w:rsidR="002162E8">
        <w:rPr>
          <w:lang w:eastAsia="en-GB"/>
        </w:rPr>
        <w:t xml:space="preserve">sequestration figure will </w:t>
      </w:r>
      <w:r>
        <w:rPr>
          <w:lang w:eastAsia="en-GB"/>
        </w:rPr>
        <w:t>represent the</w:t>
      </w:r>
      <w:r w:rsidR="002162E8">
        <w:rPr>
          <w:lang w:eastAsia="en-GB"/>
        </w:rPr>
        <w:t xml:space="preserve"> total of all land types per </w:t>
      </w:r>
      <w:r w:rsidR="002162E8">
        <w:rPr>
          <w:lang w:val="en-GB" w:eastAsia="en-GB"/>
        </w:rPr>
        <w:t>[Local Authority name] area</w:t>
      </w:r>
      <w:r w:rsidR="002162E8">
        <w:rPr>
          <w:lang w:eastAsia="en-GB"/>
        </w:rPr>
        <w:t xml:space="preserve">. </w:t>
      </w:r>
    </w:p>
    <w:p w14:paraId="08201109" w14:textId="6E0C910A" w:rsidR="00780F1C" w:rsidRDefault="00F43581" w:rsidP="007A5133">
      <w:pPr>
        <w:spacing w:before="0" w:after="240"/>
        <w:rPr>
          <w:rStyle w:val="Strong"/>
          <w:rFonts w:cs="Arial"/>
          <w:b w:val="0"/>
          <w:bCs w:val="0"/>
        </w:rPr>
      </w:pPr>
      <w:r w:rsidRPr="001E7890">
        <w:rPr>
          <w:rStyle w:val="Strong"/>
          <w:rFonts w:cs="Arial"/>
          <w:b w:val="0"/>
          <w:bCs w:val="0"/>
        </w:rPr>
        <w:t>[Local Authority Name]</w:t>
      </w:r>
      <w:r w:rsidR="00CB5FC2">
        <w:rPr>
          <w:rStyle w:val="Strong"/>
          <w:rFonts w:cs="Arial"/>
          <w:b w:val="0"/>
          <w:bCs w:val="0"/>
        </w:rPr>
        <w:t xml:space="preserve"> </w:t>
      </w:r>
      <w:r w:rsidR="00201734">
        <w:rPr>
          <w:rStyle w:val="Strong"/>
          <w:rFonts w:cs="Arial"/>
          <w:b w:val="0"/>
          <w:bCs w:val="0"/>
        </w:rPr>
        <w:t>commits to establishing a</w:t>
      </w:r>
      <w:r w:rsidR="002162E8">
        <w:rPr>
          <w:rStyle w:val="Strong"/>
          <w:rFonts w:cs="Arial"/>
          <w:b w:val="0"/>
          <w:bCs w:val="0"/>
        </w:rPr>
        <w:t xml:space="preserve">nd maintaining the process outlined above, </w:t>
      </w:r>
      <w:r w:rsidR="007A5133">
        <w:rPr>
          <w:rStyle w:val="Strong"/>
          <w:rFonts w:cs="Arial"/>
          <w:b w:val="0"/>
          <w:bCs w:val="0"/>
        </w:rPr>
        <w:t>and to allocate appropriate resources to do so</w:t>
      </w:r>
      <w:r w:rsidR="00780F1C">
        <w:rPr>
          <w:rStyle w:val="Strong"/>
          <w:rFonts w:cs="Arial"/>
          <w:b w:val="0"/>
          <w:bCs w:val="0"/>
        </w:rPr>
        <w:t xml:space="preserve">. </w:t>
      </w:r>
    </w:p>
    <w:p w14:paraId="4B93E4FF" w14:textId="63EA8581" w:rsidR="007A5133" w:rsidRDefault="006019FA" w:rsidP="007A5133">
      <w:pPr>
        <w:spacing w:before="0" w:after="240"/>
        <w:rPr>
          <w:rStyle w:val="Strong"/>
          <w:rFonts w:cs="Arial"/>
          <w:b w:val="0"/>
          <w:bCs w:val="0"/>
        </w:rPr>
      </w:pPr>
      <w:r>
        <w:rPr>
          <w:rStyle w:val="Strong"/>
          <w:rFonts w:cs="Arial"/>
          <w:b w:val="0"/>
          <w:bCs w:val="0"/>
        </w:rPr>
        <w:t xml:space="preserve">Transparency </w:t>
      </w:r>
      <w:r w:rsidR="00201734">
        <w:rPr>
          <w:rStyle w:val="Strong"/>
          <w:rFonts w:cs="Arial"/>
          <w:b w:val="0"/>
          <w:bCs w:val="0"/>
        </w:rPr>
        <w:t xml:space="preserve">will be maintained through regular </w:t>
      </w:r>
      <w:r>
        <w:rPr>
          <w:rStyle w:val="Strong"/>
          <w:rFonts w:cs="Arial"/>
          <w:b w:val="0"/>
          <w:bCs w:val="0"/>
        </w:rPr>
        <w:t>planning, monitoring and reporting</w:t>
      </w:r>
      <w:r w:rsidR="00831805">
        <w:rPr>
          <w:rStyle w:val="Strong"/>
          <w:rFonts w:cs="Arial"/>
          <w:b w:val="0"/>
          <w:bCs w:val="0"/>
        </w:rPr>
        <w:t>.</w:t>
      </w:r>
      <w:r w:rsidR="00E11A19">
        <w:rPr>
          <w:rStyle w:val="Strong"/>
          <w:rFonts w:cs="Arial"/>
          <w:b w:val="0"/>
          <w:bCs w:val="0"/>
        </w:rPr>
        <w:t xml:space="preserve"> </w:t>
      </w:r>
      <w:r w:rsidR="00201734">
        <w:rPr>
          <w:rStyle w:val="Strong"/>
          <w:rFonts w:cs="Arial"/>
          <w:b w:val="0"/>
          <w:bCs w:val="0"/>
        </w:rPr>
        <w:t>T</w:t>
      </w:r>
      <w:r w:rsidR="00831805">
        <w:rPr>
          <w:rStyle w:val="Strong"/>
          <w:rFonts w:cs="Arial"/>
          <w:b w:val="0"/>
          <w:bCs w:val="0"/>
        </w:rPr>
        <w:t xml:space="preserve">he carbon </w:t>
      </w:r>
      <w:r w:rsidR="002162E8">
        <w:rPr>
          <w:rStyle w:val="Strong"/>
          <w:rFonts w:cs="Arial"/>
          <w:b w:val="0"/>
          <w:bCs w:val="0"/>
        </w:rPr>
        <w:t>sequestration of our green assets</w:t>
      </w:r>
      <w:r w:rsidR="00831805">
        <w:rPr>
          <w:rStyle w:val="Strong"/>
          <w:rFonts w:cs="Arial"/>
          <w:b w:val="0"/>
          <w:bCs w:val="0"/>
        </w:rPr>
        <w:t xml:space="preserve"> </w:t>
      </w:r>
      <w:r w:rsidR="00201734">
        <w:rPr>
          <w:rStyle w:val="Strong"/>
          <w:rFonts w:cs="Arial"/>
          <w:b w:val="0"/>
          <w:bCs w:val="0"/>
        </w:rPr>
        <w:t xml:space="preserve">will </w:t>
      </w:r>
      <w:r w:rsidR="00EE442E">
        <w:rPr>
          <w:rStyle w:val="Strong"/>
          <w:rFonts w:cs="Arial"/>
          <w:b w:val="0"/>
          <w:bCs w:val="0"/>
        </w:rPr>
        <w:t xml:space="preserve">be </w:t>
      </w:r>
      <w:r w:rsidR="002162E8">
        <w:rPr>
          <w:rStyle w:val="Strong"/>
          <w:rFonts w:cs="Arial"/>
          <w:b w:val="0"/>
          <w:bCs w:val="0"/>
        </w:rPr>
        <w:t xml:space="preserve">reported alongside </w:t>
      </w:r>
      <w:r w:rsidR="003420C1">
        <w:rPr>
          <w:rStyle w:val="Strong"/>
          <w:rFonts w:cs="Arial"/>
          <w:b w:val="0"/>
          <w:bCs w:val="0"/>
        </w:rPr>
        <w:t>[</w:t>
      </w:r>
      <w:r w:rsidR="007B3752">
        <w:rPr>
          <w:rStyle w:val="Strong"/>
          <w:rFonts w:cs="Arial"/>
          <w:b w:val="0"/>
          <w:bCs w:val="0"/>
        </w:rPr>
        <w:t>Local Authority Name</w:t>
      </w:r>
      <w:r w:rsidR="003420C1">
        <w:rPr>
          <w:rStyle w:val="Strong"/>
          <w:rFonts w:cs="Arial"/>
          <w:b w:val="0"/>
          <w:bCs w:val="0"/>
        </w:rPr>
        <w:t>]</w:t>
      </w:r>
      <w:r w:rsidR="007B3752">
        <w:rPr>
          <w:rStyle w:val="Strong"/>
          <w:rFonts w:cs="Arial"/>
          <w:b w:val="0"/>
          <w:bCs w:val="0"/>
        </w:rPr>
        <w:t>’s</w:t>
      </w:r>
      <w:r w:rsidR="003420C1">
        <w:rPr>
          <w:rStyle w:val="Strong"/>
          <w:rFonts w:cs="Arial"/>
          <w:b w:val="0"/>
          <w:bCs w:val="0"/>
        </w:rPr>
        <w:t xml:space="preserve"> </w:t>
      </w:r>
      <w:r w:rsidR="00BB0AE2">
        <w:rPr>
          <w:rStyle w:val="Strong"/>
          <w:rFonts w:cs="Arial"/>
          <w:b w:val="0"/>
          <w:bCs w:val="0"/>
        </w:rPr>
        <w:t xml:space="preserve">annual </w:t>
      </w:r>
      <w:r w:rsidR="00201734">
        <w:rPr>
          <w:rStyle w:val="Strong"/>
          <w:rFonts w:cs="Arial"/>
          <w:b w:val="0"/>
          <w:bCs w:val="0"/>
        </w:rPr>
        <w:t xml:space="preserve">carbon </w:t>
      </w:r>
      <w:r w:rsidR="00BB0AE2">
        <w:rPr>
          <w:rStyle w:val="Strong"/>
          <w:rFonts w:cs="Arial"/>
          <w:b w:val="0"/>
          <w:bCs w:val="0"/>
        </w:rPr>
        <w:t>emissions</w:t>
      </w:r>
      <w:r w:rsidR="001D787D">
        <w:rPr>
          <w:rStyle w:val="Strong"/>
          <w:rFonts w:cs="Arial"/>
          <w:b w:val="0"/>
          <w:bCs w:val="0"/>
        </w:rPr>
        <w:t xml:space="preserve">. </w:t>
      </w:r>
    </w:p>
    <w:p w14:paraId="5AF33F30" w14:textId="027469F1" w:rsidR="00B7143B" w:rsidRPr="00175A4A" w:rsidRDefault="00B7143B" w:rsidP="007A5133">
      <w:pPr>
        <w:spacing w:before="0" w:after="240"/>
        <w:rPr>
          <w:lang w:val="en-GB" w:eastAsia="en-GB"/>
        </w:rPr>
      </w:pPr>
      <w:r>
        <w:rPr>
          <w:lang w:val="en-GB" w:eastAsia="en-GB"/>
        </w:rPr>
        <w:t xml:space="preserve">To ensure </w:t>
      </w:r>
      <w:r w:rsidR="00201734">
        <w:rPr>
          <w:lang w:val="en-GB" w:eastAsia="en-GB"/>
        </w:rPr>
        <w:t>robust</w:t>
      </w:r>
      <w:r>
        <w:rPr>
          <w:lang w:val="en-GB" w:eastAsia="en-GB"/>
        </w:rPr>
        <w:t xml:space="preserve"> governance, </w:t>
      </w:r>
      <w:r w:rsidR="002B7AAF">
        <w:rPr>
          <w:lang w:val="en-GB" w:eastAsia="en-GB"/>
        </w:rPr>
        <w:t>[Local Authority Name]</w:t>
      </w:r>
      <w:r w:rsidR="0044008F">
        <w:rPr>
          <w:lang w:val="en-GB" w:eastAsia="en-GB"/>
        </w:rPr>
        <w:t xml:space="preserve"> </w:t>
      </w:r>
      <w:r>
        <w:rPr>
          <w:lang w:val="en-GB" w:eastAsia="en-GB"/>
        </w:rPr>
        <w:t xml:space="preserve">undertakes to: </w:t>
      </w:r>
    </w:p>
    <w:p w14:paraId="392CD6DD" w14:textId="7EB390FE" w:rsidR="00B7143B" w:rsidRPr="0089244D" w:rsidRDefault="00B7143B" w:rsidP="00DB1018">
      <w:pPr>
        <w:pStyle w:val="ListParagraph"/>
        <w:numPr>
          <w:ilvl w:val="0"/>
          <w:numId w:val="3"/>
        </w:numPr>
        <w:rPr>
          <w:lang w:val="en-GB" w:eastAsia="en-GB"/>
        </w:rPr>
      </w:pPr>
      <w:r w:rsidRPr="0089244D">
        <w:rPr>
          <w:lang w:val="en-GB" w:eastAsia="en-GB"/>
        </w:rPr>
        <w:t xml:space="preserve">Collaborate with regional partners </w:t>
      </w:r>
      <w:r w:rsidR="007A5133">
        <w:rPr>
          <w:lang w:val="en-GB" w:eastAsia="en-GB"/>
        </w:rPr>
        <w:t>including</w:t>
      </w:r>
      <w:r w:rsidRPr="0089244D">
        <w:rPr>
          <w:lang w:val="en-GB" w:eastAsia="en-GB"/>
        </w:rPr>
        <w:t xml:space="preserve"> HCCSP, </w:t>
      </w:r>
      <w:r w:rsidR="00201734">
        <w:rPr>
          <w:lang w:val="en-GB" w:eastAsia="en-GB"/>
        </w:rPr>
        <w:t>the Regional Climate Change Forum</w:t>
      </w:r>
      <w:r w:rsidRPr="0089244D">
        <w:rPr>
          <w:lang w:val="en-GB" w:eastAsia="en-GB"/>
        </w:rPr>
        <w:t xml:space="preserve"> and other, to </w:t>
      </w:r>
      <w:r w:rsidR="002B7AAF">
        <w:rPr>
          <w:lang w:val="en-GB" w:eastAsia="en-GB"/>
        </w:rPr>
        <w:t xml:space="preserve">align reporting </w:t>
      </w:r>
      <w:r w:rsidR="007A5133">
        <w:rPr>
          <w:lang w:val="en-GB" w:eastAsia="en-GB"/>
        </w:rPr>
        <w:t>approaches where possible</w:t>
      </w:r>
      <w:r w:rsidRPr="0089244D">
        <w:rPr>
          <w:lang w:val="en-GB" w:eastAsia="en-GB"/>
        </w:rPr>
        <w:t>; and</w:t>
      </w:r>
    </w:p>
    <w:p w14:paraId="083BC051" w14:textId="435B3BC2" w:rsidR="00B7143B" w:rsidRDefault="00B7143B" w:rsidP="00DB1018">
      <w:pPr>
        <w:pStyle w:val="ListParagraph"/>
        <w:numPr>
          <w:ilvl w:val="0"/>
          <w:numId w:val="3"/>
        </w:numPr>
        <w:rPr>
          <w:lang w:val="en-GB" w:eastAsia="en-GB"/>
        </w:rPr>
      </w:pPr>
      <w:r w:rsidRPr="0089244D">
        <w:rPr>
          <w:lang w:val="en-GB" w:eastAsia="en-GB"/>
        </w:rPr>
        <w:t xml:space="preserve">Regularly review this </w:t>
      </w:r>
      <w:r w:rsidR="008C79AB">
        <w:rPr>
          <w:lang w:val="en-GB" w:eastAsia="en-GB"/>
        </w:rPr>
        <w:t>standard</w:t>
      </w:r>
      <w:r w:rsidRPr="0089244D">
        <w:rPr>
          <w:lang w:val="en-GB" w:eastAsia="en-GB"/>
        </w:rPr>
        <w:t xml:space="preserve"> to </w:t>
      </w:r>
      <w:r w:rsidR="007A5133">
        <w:rPr>
          <w:lang w:val="en-GB" w:eastAsia="en-GB"/>
        </w:rPr>
        <w:t>reflect</w:t>
      </w:r>
      <w:r w:rsidRPr="0089244D">
        <w:rPr>
          <w:lang w:val="en-GB" w:eastAsia="en-GB"/>
        </w:rPr>
        <w:t xml:space="preserve"> best practice</w:t>
      </w:r>
      <w:r w:rsidR="007A5133">
        <w:rPr>
          <w:lang w:val="en-GB" w:eastAsia="en-GB"/>
        </w:rPr>
        <w:t xml:space="preserve">, </w:t>
      </w:r>
      <w:r w:rsidRPr="0089244D">
        <w:rPr>
          <w:lang w:val="en-GB" w:eastAsia="en-GB"/>
        </w:rPr>
        <w:t>evolving</w:t>
      </w:r>
      <w:r w:rsidR="007A5133">
        <w:rPr>
          <w:lang w:val="en-GB" w:eastAsia="en-GB"/>
        </w:rPr>
        <w:t xml:space="preserve"> science and new legislation</w:t>
      </w:r>
      <w:r w:rsidRPr="0089244D">
        <w:rPr>
          <w:lang w:val="en-GB" w:eastAsia="en-GB"/>
        </w:rPr>
        <w:t>.</w:t>
      </w:r>
    </w:p>
    <w:p w14:paraId="48AAAC06" w14:textId="245719B4" w:rsidR="002C2FEE" w:rsidRPr="00BA07C8" w:rsidRDefault="002C2FEE" w:rsidP="00FC279C">
      <w:pPr>
        <w:pStyle w:val="Subtitle"/>
      </w:pPr>
      <w:bookmarkStart w:id="23" w:name="_Toc198718232"/>
      <w:bookmarkStart w:id="24" w:name="_Toc194423774"/>
      <w:bookmarkStart w:id="25" w:name="_Toc194423776"/>
      <w:bookmarkStart w:id="26" w:name="_Toc194423777"/>
      <w:bookmarkStart w:id="27" w:name="_Toc194423778"/>
      <w:bookmarkStart w:id="28" w:name="_Toc194423779"/>
      <w:bookmarkStart w:id="29" w:name="_Toc194423780"/>
      <w:bookmarkStart w:id="30" w:name="_Toc194423781"/>
      <w:bookmarkStart w:id="31" w:name="_Toc194423782"/>
      <w:bookmarkStart w:id="32" w:name="_Toc214461848"/>
      <w:bookmarkEnd w:id="23"/>
      <w:bookmarkEnd w:id="24"/>
      <w:bookmarkEnd w:id="25"/>
      <w:bookmarkEnd w:id="26"/>
      <w:bookmarkEnd w:id="27"/>
      <w:bookmarkEnd w:id="28"/>
      <w:bookmarkEnd w:id="29"/>
      <w:bookmarkEnd w:id="30"/>
      <w:bookmarkEnd w:id="31"/>
      <w:r w:rsidRPr="00BA07C8">
        <w:t>Conclusion</w:t>
      </w:r>
      <w:bookmarkEnd w:id="32"/>
    </w:p>
    <w:p w14:paraId="5CB0FF49" w14:textId="0D3E8E55" w:rsidR="00473521" w:rsidRPr="00FC279C" w:rsidRDefault="002C2FEE" w:rsidP="00FC279C">
      <w:pPr>
        <w:rPr>
          <w:b/>
          <w:bCs/>
          <w:lang w:val="en-GB" w:eastAsia="en-GB"/>
        </w:rPr>
      </w:pPr>
      <w:r w:rsidRPr="00FC279C">
        <w:rPr>
          <w:b/>
          <w:bCs/>
          <w:lang w:val="en-GB" w:eastAsia="en-GB"/>
        </w:rPr>
        <w:t>Commitment</w:t>
      </w:r>
    </w:p>
    <w:p w14:paraId="56963B58" w14:textId="03835D8C" w:rsidR="002C2FEE" w:rsidRDefault="007B3752" w:rsidP="002C2FEE">
      <w:pPr>
        <w:widowControl/>
        <w:autoSpaceDE/>
        <w:autoSpaceDN/>
        <w:spacing w:before="100" w:beforeAutospacing="1" w:after="100" w:afterAutospacing="1"/>
        <w:rPr>
          <w:rFonts w:eastAsia="Times New Roman" w:cs="Arial"/>
          <w:szCs w:val="24"/>
          <w:lang w:val="en-GB" w:eastAsia="en-GB"/>
        </w:rPr>
      </w:pPr>
      <w:r>
        <w:rPr>
          <w:rFonts w:eastAsia="Times New Roman" w:cs="Arial"/>
          <w:szCs w:val="24"/>
          <w:lang w:val="en-GB" w:eastAsia="en-GB"/>
        </w:rPr>
        <w:t>[Local Authority Name]</w:t>
      </w:r>
      <w:r w:rsidR="002C2FEE" w:rsidRPr="00BA07C8">
        <w:rPr>
          <w:rFonts w:eastAsia="Times New Roman" w:cs="Arial"/>
          <w:szCs w:val="24"/>
          <w:lang w:val="en-GB" w:eastAsia="en-GB"/>
        </w:rPr>
        <w:t xml:space="preserve"> remain</w:t>
      </w:r>
      <w:r>
        <w:rPr>
          <w:rFonts w:eastAsia="Times New Roman" w:cs="Arial"/>
          <w:szCs w:val="24"/>
          <w:lang w:val="en-GB" w:eastAsia="en-GB"/>
        </w:rPr>
        <w:t>s</w:t>
      </w:r>
      <w:r w:rsidR="002C2FEE" w:rsidRPr="00BA07C8">
        <w:rPr>
          <w:rFonts w:eastAsia="Times New Roman" w:cs="Arial"/>
          <w:szCs w:val="24"/>
          <w:lang w:val="en-GB" w:eastAsia="en-GB"/>
        </w:rPr>
        <w:t xml:space="preserve"> committed to reducing emissions as the primary route to net zero</w:t>
      </w:r>
      <w:r w:rsidR="007A5133">
        <w:rPr>
          <w:rFonts w:eastAsia="Times New Roman" w:cs="Arial"/>
          <w:szCs w:val="24"/>
          <w:lang w:val="en-GB" w:eastAsia="en-GB"/>
        </w:rPr>
        <w:t>. G</w:t>
      </w:r>
      <w:r w:rsidR="002162E8">
        <w:rPr>
          <w:rFonts w:eastAsia="Times New Roman" w:cs="Arial"/>
          <w:szCs w:val="24"/>
          <w:lang w:val="en-GB" w:eastAsia="en-GB"/>
        </w:rPr>
        <w:t xml:space="preserve">reen asset sequestration values </w:t>
      </w:r>
      <w:r w:rsidR="007A5133">
        <w:rPr>
          <w:rFonts w:eastAsia="Times New Roman" w:cs="Arial"/>
          <w:szCs w:val="24"/>
          <w:lang w:val="en-GB" w:eastAsia="en-GB"/>
        </w:rPr>
        <w:t xml:space="preserve">will be </w:t>
      </w:r>
      <w:r w:rsidR="002162E8">
        <w:rPr>
          <w:rFonts w:eastAsia="Times New Roman" w:cs="Arial"/>
          <w:szCs w:val="24"/>
          <w:lang w:val="en-GB" w:eastAsia="en-GB"/>
        </w:rPr>
        <w:t>reported alongside annual emissions</w:t>
      </w:r>
      <w:r w:rsidR="002C2FEE" w:rsidRPr="00BA07C8">
        <w:rPr>
          <w:rFonts w:eastAsia="Times New Roman" w:cs="Arial"/>
          <w:szCs w:val="24"/>
          <w:lang w:val="en-GB" w:eastAsia="en-GB"/>
        </w:rPr>
        <w:t xml:space="preserve"> </w:t>
      </w:r>
      <w:r w:rsidR="002162E8">
        <w:rPr>
          <w:rFonts w:eastAsia="Times New Roman" w:cs="Arial"/>
          <w:szCs w:val="24"/>
          <w:lang w:val="en-GB" w:eastAsia="en-GB"/>
        </w:rPr>
        <w:t xml:space="preserve">to </w:t>
      </w:r>
      <w:r w:rsidR="007A5133">
        <w:rPr>
          <w:rFonts w:eastAsia="Times New Roman" w:cs="Arial"/>
          <w:szCs w:val="24"/>
          <w:lang w:val="en-GB" w:eastAsia="en-GB"/>
        </w:rPr>
        <w:t xml:space="preserve">provide </w:t>
      </w:r>
      <w:r w:rsidR="002162E8">
        <w:rPr>
          <w:rFonts w:eastAsia="Times New Roman" w:cs="Arial"/>
          <w:szCs w:val="24"/>
          <w:lang w:val="en-GB" w:eastAsia="en-GB"/>
        </w:rPr>
        <w:t>a balanced and transparent approach to carbon reporting</w:t>
      </w:r>
      <w:r w:rsidR="002C2FEE" w:rsidRPr="00BA07C8">
        <w:rPr>
          <w:rFonts w:eastAsia="Times New Roman" w:cs="Arial"/>
          <w:szCs w:val="24"/>
          <w:lang w:val="en-GB" w:eastAsia="en-GB"/>
        </w:rPr>
        <w:t>.</w:t>
      </w:r>
    </w:p>
    <w:p w14:paraId="3DF8C352" w14:textId="15D39034" w:rsidR="00465CAC" w:rsidRPr="00FC279C" w:rsidRDefault="00A52440" w:rsidP="00FC279C">
      <w:pPr>
        <w:rPr>
          <w:b/>
          <w:bCs/>
          <w:lang w:val="en-GB" w:eastAsia="en-GB"/>
        </w:rPr>
      </w:pPr>
      <w:r w:rsidRPr="00FC279C">
        <w:rPr>
          <w:b/>
          <w:bCs/>
          <w:lang w:val="en-GB" w:eastAsia="en-GB"/>
        </w:rPr>
        <w:t>Principles</w:t>
      </w:r>
      <w:r w:rsidR="00465CAC" w:rsidRPr="00FC279C">
        <w:rPr>
          <w:b/>
          <w:bCs/>
          <w:lang w:val="en-GB" w:eastAsia="en-GB"/>
        </w:rPr>
        <w:t xml:space="preserve"> Review</w:t>
      </w:r>
    </w:p>
    <w:p w14:paraId="183565A0" w14:textId="39BFE713" w:rsidR="00FC279C" w:rsidRDefault="00465CAC" w:rsidP="002C2FEE">
      <w:pPr>
        <w:widowControl/>
        <w:autoSpaceDE/>
        <w:autoSpaceDN/>
        <w:spacing w:before="100" w:beforeAutospacing="1" w:after="100" w:afterAutospacing="1"/>
        <w:rPr>
          <w:rFonts w:eastAsia="Times New Roman" w:cs="Arial"/>
          <w:szCs w:val="24"/>
          <w:lang w:val="en-GB" w:eastAsia="en-GB"/>
        </w:rPr>
      </w:pPr>
      <w:r>
        <w:rPr>
          <w:rFonts w:eastAsia="Times New Roman" w:cs="Arial"/>
          <w:szCs w:val="24"/>
          <w:lang w:val="en-GB" w:eastAsia="en-GB"/>
        </w:rPr>
        <w:t xml:space="preserve">This </w:t>
      </w:r>
      <w:r w:rsidR="00A52440">
        <w:rPr>
          <w:rFonts w:eastAsia="Times New Roman" w:cs="Arial"/>
          <w:szCs w:val="24"/>
          <w:lang w:val="en-GB" w:eastAsia="en-GB"/>
        </w:rPr>
        <w:t>document</w:t>
      </w:r>
      <w:r>
        <w:rPr>
          <w:rFonts w:eastAsia="Times New Roman" w:cs="Arial"/>
          <w:szCs w:val="24"/>
          <w:lang w:val="en-GB" w:eastAsia="en-GB"/>
        </w:rPr>
        <w:t xml:space="preserve"> will be reviewed every two years or in response to regulatory updates. </w:t>
      </w:r>
      <w:r w:rsidR="00D32742" w:rsidRPr="00BA07C8">
        <w:rPr>
          <w:rFonts w:eastAsia="Times New Roman" w:cs="Arial"/>
          <w:szCs w:val="24"/>
          <w:lang w:val="en-GB" w:eastAsia="en-GB"/>
        </w:rPr>
        <w:t>Adjustments will be made based on advances in carbon accounting, scientific understanding, and local environmental priorities.</w:t>
      </w:r>
      <w:r>
        <w:rPr>
          <w:rFonts w:eastAsia="Times New Roman" w:cs="Arial"/>
          <w:szCs w:val="24"/>
          <w:lang w:val="en-GB" w:eastAsia="en-GB"/>
        </w:rPr>
        <w:t xml:space="preserve"> </w:t>
      </w:r>
      <w:bookmarkEnd w:id="0"/>
    </w:p>
    <w:p w14:paraId="1210A53D" w14:textId="77777777" w:rsidR="00FC279C" w:rsidRDefault="00FC279C">
      <w:pPr>
        <w:spacing w:before="0" w:after="0"/>
        <w:rPr>
          <w:rFonts w:eastAsia="Times New Roman" w:cs="Arial"/>
          <w:szCs w:val="24"/>
          <w:lang w:val="en-GB" w:eastAsia="en-GB"/>
        </w:rPr>
      </w:pPr>
      <w:r>
        <w:rPr>
          <w:rFonts w:eastAsia="Times New Roman" w:cs="Arial"/>
          <w:szCs w:val="24"/>
          <w:lang w:val="en-GB" w:eastAsia="en-GB"/>
        </w:rPr>
        <w:br w:type="page"/>
      </w:r>
    </w:p>
    <w:p w14:paraId="6A8869B9" w14:textId="5CC92CDB" w:rsidR="00FC279C" w:rsidRPr="00FC279C" w:rsidRDefault="00FC279C" w:rsidP="00FC279C">
      <w:pPr>
        <w:pStyle w:val="Heading1"/>
      </w:pPr>
      <w:bookmarkStart w:id="33" w:name="_Toc231485123"/>
      <w:r w:rsidRPr="00FC279C">
        <w:t xml:space="preserve">Appendix </w:t>
      </w:r>
      <w:r w:rsidR="00761E69">
        <w:t>5</w:t>
      </w:r>
      <w:r w:rsidRPr="00FC279C">
        <w:t>: Governance and Adoption Requirements</w:t>
      </w:r>
      <w:bookmarkEnd w:id="33"/>
    </w:p>
    <w:p w14:paraId="0E4CC875" w14:textId="77777777" w:rsidR="00FC279C" w:rsidRPr="00FC279C" w:rsidRDefault="00FC279C" w:rsidP="00FC279C">
      <w:pPr>
        <w:widowControl/>
        <w:autoSpaceDE/>
        <w:autoSpaceDN/>
        <w:spacing w:before="100" w:beforeAutospacing="1" w:after="100" w:afterAutospacing="1"/>
        <w:rPr>
          <w:rFonts w:eastAsia="Times New Roman" w:cs="Arial"/>
          <w:szCs w:val="24"/>
          <w:lang w:val="en-GB" w:eastAsia="en-GB"/>
        </w:rPr>
      </w:pPr>
      <w:r w:rsidRPr="00FC279C">
        <w:rPr>
          <w:rFonts w:eastAsia="Times New Roman" w:cs="Arial"/>
          <w:szCs w:val="24"/>
          <w:lang w:val="en-GB" w:eastAsia="en-GB"/>
        </w:rPr>
        <w:t>Authorities adopting this methodology should:</w:t>
      </w:r>
    </w:p>
    <w:p w14:paraId="32B2F9B6" w14:textId="77777777" w:rsidR="00FC279C" w:rsidRPr="00FC279C" w:rsidRDefault="00FC279C" w:rsidP="00DB1018">
      <w:pPr>
        <w:widowControl/>
        <w:numPr>
          <w:ilvl w:val="0"/>
          <w:numId w:val="9"/>
        </w:numPr>
        <w:autoSpaceDE/>
        <w:autoSpaceDN/>
        <w:spacing w:before="100" w:beforeAutospacing="1" w:after="100" w:afterAutospacing="1"/>
        <w:rPr>
          <w:rFonts w:eastAsia="Times New Roman" w:cs="Arial"/>
          <w:szCs w:val="24"/>
          <w:lang w:val="en-GB" w:eastAsia="en-GB"/>
        </w:rPr>
      </w:pPr>
      <w:r w:rsidRPr="00FC279C">
        <w:rPr>
          <w:rFonts w:eastAsia="Times New Roman" w:cs="Arial"/>
          <w:szCs w:val="24"/>
          <w:lang w:val="en-GB" w:eastAsia="en-GB"/>
        </w:rPr>
        <w:t xml:space="preserve">Define their reporting boundary. </w:t>
      </w:r>
    </w:p>
    <w:p w14:paraId="1722805B" w14:textId="77777777" w:rsidR="00FC279C" w:rsidRPr="00FC279C" w:rsidRDefault="00FC279C" w:rsidP="00DB1018">
      <w:pPr>
        <w:widowControl/>
        <w:numPr>
          <w:ilvl w:val="0"/>
          <w:numId w:val="9"/>
        </w:numPr>
        <w:autoSpaceDE/>
        <w:autoSpaceDN/>
        <w:spacing w:before="100" w:beforeAutospacing="1" w:after="100" w:afterAutospacing="1"/>
        <w:rPr>
          <w:rFonts w:eastAsia="Times New Roman" w:cs="Arial"/>
          <w:szCs w:val="24"/>
          <w:lang w:val="en-GB" w:eastAsia="en-GB"/>
        </w:rPr>
      </w:pPr>
      <w:r w:rsidRPr="00FC279C">
        <w:rPr>
          <w:rFonts w:eastAsia="Times New Roman" w:cs="Arial"/>
          <w:szCs w:val="24"/>
          <w:lang w:val="en-GB" w:eastAsia="en-GB"/>
        </w:rPr>
        <w:t xml:space="preserve">Establish responsibility for avoiding double counting. </w:t>
      </w:r>
    </w:p>
    <w:p w14:paraId="21A2D03E" w14:textId="77777777" w:rsidR="00FC279C" w:rsidRPr="00FC279C" w:rsidRDefault="00FC279C" w:rsidP="00DB1018">
      <w:pPr>
        <w:widowControl/>
        <w:numPr>
          <w:ilvl w:val="0"/>
          <w:numId w:val="9"/>
        </w:numPr>
        <w:autoSpaceDE/>
        <w:autoSpaceDN/>
        <w:spacing w:before="100" w:beforeAutospacing="1" w:after="100" w:afterAutospacing="1"/>
        <w:rPr>
          <w:rFonts w:eastAsia="Times New Roman" w:cs="Arial"/>
          <w:szCs w:val="24"/>
          <w:lang w:val="en-GB" w:eastAsia="en-GB"/>
        </w:rPr>
      </w:pPr>
      <w:r w:rsidRPr="00FC279C">
        <w:rPr>
          <w:rFonts w:eastAsia="Times New Roman" w:cs="Arial"/>
          <w:szCs w:val="24"/>
          <w:lang w:val="en-GB" w:eastAsia="en-GB"/>
        </w:rPr>
        <w:t xml:space="preserve">Maintain records of land ownership and operational control. </w:t>
      </w:r>
    </w:p>
    <w:p w14:paraId="7E1BA24D" w14:textId="77777777" w:rsidR="00FC279C" w:rsidRPr="00FC279C" w:rsidRDefault="00FC279C" w:rsidP="00DB1018">
      <w:pPr>
        <w:widowControl/>
        <w:numPr>
          <w:ilvl w:val="0"/>
          <w:numId w:val="9"/>
        </w:numPr>
        <w:autoSpaceDE/>
        <w:autoSpaceDN/>
        <w:spacing w:before="100" w:beforeAutospacing="1" w:after="100" w:afterAutospacing="1"/>
        <w:rPr>
          <w:rFonts w:eastAsia="Times New Roman" w:cs="Arial"/>
          <w:szCs w:val="24"/>
          <w:lang w:val="en-GB" w:eastAsia="en-GB"/>
        </w:rPr>
      </w:pPr>
      <w:r w:rsidRPr="00FC279C">
        <w:rPr>
          <w:rFonts w:eastAsia="Times New Roman" w:cs="Arial"/>
          <w:szCs w:val="24"/>
          <w:lang w:val="en-GB" w:eastAsia="en-GB"/>
        </w:rPr>
        <w:t xml:space="preserve">Retain habitat mapping datasets used for calculations. </w:t>
      </w:r>
    </w:p>
    <w:p w14:paraId="052E64A1" w14:textId="77777777" w:rsidR="00FC279C" w:rsidRPr="00FC279C" w:rsidRDefault="00FC279C" w:rsidP="00DB1018">
      <w:pPr>
        <w:widowControl/>
        <w:numPr>
          <w:ilvl w:val="0"/>
          <w:numId w:val="9"/>
        </w:numPr>
        <w:autoSpaceDE/>
        <w:autoSpaceDN/>
        <w:spacing w:before="100" w:beforeAutospacing="1" w:after="100" w:afterAutospacing="1"/>
        <w:rPr>
          <w:rFonts w:eastAsia="Times New Roman" w:cs="Arial"/>
          <w:szCs w:val="24"/>
          <w:lang w:val="en-GB" w:eastAsia="en-GB"/>
        </w:rPr>
      </w:pPr>
      <w:r w:rsidRPr="00FC279C">
        <w:rPr>
          <w:rFonts w:eastAsia="Times New Roman" w:cs="Arial"/>
          <w:szCs w:val="24"/>
          <w:lang w:val="en-GB" w:eastAsia="en-GB"/>
        </w:rPr>
        <w:t xml:space="preserve">Document any exclusions from reporting. </w:t>
      </w:r>
    </w:p>
    <w:p w14:paraId="5FD72351" w14:textId="77777777" w:rsidR="00FC279C" w:rsidRPr="00FC279C" w:rsidRDefault="00FC279C" w:rsidP="00DB1018">
      <w:pPr>
        <w:widowControl/>
        <w:numPr>
          <w:ilvl w:val="0"/>
          <w:numId w:val="9"/>
        </w:numPr>
        <w:autoSpaceDE/>
        <w:autoSpaceDN/>
        <w:spacing w:before="100" w:beforeAutospacing="1" w:after="100" w:afterAutospacing="1"/>
        <w:rPr>
          <w:rFonts w:eastAsia="Times New Roman" w:cs="Arial"/>
          <w:szCs w:val="24"/>
          <w:lang w:val="en-GB" w:eastAsia="en-GB"/>
        </w:rPr>
      </w:pPr>
      <w:r w:rsidRPr="00FC279C">
        <w:rPr>
          <w:rFonts w:eastAsia="Times New Roman" w:cs="Arial"/>
          <w:szCs w:val="24"/>
          <w:lang w:val="en-GB" w:eastAsia="en-GB"/>
        </w:rPr>
        <w:t xml:space="preserve">Publish methodology statements alongside reported figures. </w:t>
      </w:r>
    </w:p>
    <w:p w14:paraId="5B72C86B" w14:textId="77777777" w:rsidR="00FC279C" w:rsidRPr="00FC279C" w:rsidRDefault="00FC279C" w:rsidP="00DB1018">
      <w:pPr>
        <w:widowControl/>
        <w:numPr>
          <w:ilvl w:val="0"/>
          <w:numId w:val="9"/>
        </w:numPr>
        <w:autoSpaceDE/>
        <w:autoSpaceDN/>
        <w:spacing w:before="100" w:beforeAutospacing="1" w:after="100" w:afterAutospacing="1"/>
        <w:rPr>
          <w:rFonts w:eastAsia="Times New Roman" w:cs="Arial"/>
          <w:szCs w:val="24"/>
          <w:lang w:val="en-GB" w:eastAsia="en-GB"/>
        </w:rPr>
      </w:pPr>
      <w:r w:rsidRPr="00FC279C">
        <w:rPr>
          <w:rFonts w:eastAsia="Times New Roman" w:cs="Arial"/>
          <w:szCs w:val="24"/>
          <w:lang w:val="en-GB" w:eastAsia="en-GB"/>
        </w:rPr>
        <w:t xml:space="preserve">Review calculations periodically as national datasets are updated. </w:t>
      </w:r>
    </w:p>
    <w:p w14:paraId="5D7FA396" w14:textId="77777777" w:rsidR="00FC279C" w:rsidRPr="00FC279C" w:rsidRDefault="00FC279C" w:rsidP="00FC279C">
      <w:pPr>
        <w:widowControl/>
        <w:autoSpaceDE/>
        <w:autoSpaceDN/>
        <w:spacing w:before="100" w:beforeAutospacing="1" w:after="100" w:afterAutospacing="1"/>
        <w:rPr>
          <w:rFonts w:eastAsia="Times New Roman" w:cs="Arial"/>
          <w:szCs w:val="24"/>
          <w:lang w:val="en-GB" w:eastAsia="en-GB"/>
        </w:rPr>
      </w:pPr>
      <w:r w:rsidRPr="00FC279C">
        <w:rPr>
          <w:rFonts w:eastAsia="Times New Roman" w:cs="Arial"/>
          <w:szCs w:val="24"/>
          <w:lang w:val="en-GB" w:eastAsia="en-GB"/>
        </w:rPr>
        <w:t>The recommended review cycle is every two years, or sooner if significant methodological updates become available.</w:t>
      </w:r>
    </w:p>
    <w:p w14:paraId="786E47A8" w14:textId="74E0ED18" w:rsidR="00465CAC" w:rsidRDefault="00FC279C" w:rsidP="00FC279C">
      <w:pPr>
        <w:pStyle w:val="Heading1"/>
      </w:pPr>
      <w:bookmarkStart w:id="34" w:name="_Toc231485124"/>
      <w:r>
        <w:t xml:space="preserve">Appendix </w:t>
      </w:r>
      <w:r w:rsidR="00761E69">
        <w:t>6</w:t>
      </w:r>
      <w:r>
        <w:t>: Assumptions and Liabilities</w:t>
      </w:r>
      <w:bookmarkEnd w:id="34"/>
    </w:p>
    <w:p w14:paraId="79DDE206" w14:textId="4710DD70" w:rsidR="00FC279C" w:rsidRPr="00FC279C" w:rsidRDefault="00FC279C" w:rsidP="00FC279C">
      <w:pPr>
        <w:pStyle w:val="Heading2"/>
      </w:pPr>
      <w:r w:rsidRPr="00FC279C">
        <w:t>Strategic Rather Than Site-Specific</w:t>
      </w:r>
    </w:p>
    <w:p w14:paraId="5034FB10" w14:textId="77777777" w:rsidR="00FC279C" w:rsidRPr="00FC279C" w:rsidRDefault="00FC279C" w:rsidP="00FC279C">
      <w:pPr>
        <w:rPr>
          <w:lang w:val="en-GB" w:eastAsia="en-GB"/>
        </w:rPr>
      </w:pPr>
      <w:r w:rsidRPr="00FC279C">
        <w:rPr>
          <w:lang w:val="en-GB" w:eastAsia="en-GB"/>
        </w:rPr>
        <w:t>The methodology is intended to provide a strategic estimate of sequestration.</w:t>
      </w:r>
    </w:p>
    <w:p w14:paraId="1B906A75" w14:textId="77777777" w:rsidR="00FC279C" w:rsidRPr="00FC279C" w:rsidRDefault="00FC279C" w:rsidP="00FC279C">
      <w:pPr>
        <w:rPr>
          <w:lang w:val="en-GB" w:eastAsia="en-GB"/>
        </w:rPr>
      </w:pPr>
      <w:r w:rsidRPr="00FC279C">
        <w:rPr>
          <w:lang w:val="en-GB" w:eastAsia="en-GB"/>
        </w:rPr>
        <w:t>It should not be interpreted as a precise measurement of individual asset performance.</w:t>
      </w:r>
    </w:p>
    <w:p w14:paraId="4E1E8F1E" w14:textId="33257B16" w:rsidR="00FC279C" w:rsidRPr="00FC279C" w:rsidRDefault="00FC279C" w:rsidP="00FC279C">
      <w:pPr>
        <w:pStyle w:val="Heading2"/>
      </w:pPr>
      <w:r w:rsidRPr="00FC279C">
        <w:t>National Average Factors</w:t>
      </w:r>
    </w:p>
    <w:p w14:paraId="05655183" w14:textId="77777777" w:rsidR="00FC279C" w:rsidRPr="00FC279C" w:rsidRDefault="00FC279C" w:rsidP="00FC279C">
      <w:pPr>
        <w:rPr>
          <w:lang w:val="en-GB" w:eastAsia="en-GB"/>
        </w:rPr>
      </w:pPr>
      <w:r w:rsidRPr="00FC279C">
        <w:rPr>
          <w:lang w:val="en-GB" w:eastAsia="en-GB"/>
        </w:rPr>
        <w:t>The methodology uses nationally derived average carbon stock-change factors.</w:t>
      </w:r>
    </w:p>
    <w:p w14:paraId="1AF4B960" w14:textId="77777777" w:rsidR="00FC279C" w:rsidRPr="00FC279C" w:rsidRDefault="00FC279C" w:rsidP="00FC279C">
      <w:pPr>
        <w:rPr>
          <w:lang w:val="en-GB" w:eastAsia="en-GB"/>
        </w:rPr>
      </w:pPr>
      <w:r w:rsidRPr="00FC279C">
        <w:rPr>
          <w:lang w:val="en-GB" w:eastAsia="en-GB"/>
        </w:rPr>
        <w:t>Consequently, it does not explicitly account for:</w:t>
      </w:r>
    </w:p>
    <w:p w14:paraId="397866DA" w14:textId="77777777" w:rsidR="00FC279C" w:rsidRPr="00FC279C" w:rsidRDefault="00FC279C" w:rsidP="00DB1018">
      <w:pPr>
        <w:numPr>
          <w:ilvl w:val="0"/>
          <w:numId w:val="10"/>
        </w:numPr>
        <w:rPr>
          <w:lang w:val="en-GB" w:eastAsia="en-GB"/>
        </w:rPr>
      </w:pPr>
      <w:r w:rsidRPr="00FC279C">
        <w:rPr>
          <w:lang w:val="en-GB" w:eastAsia="en-GB"/>
        </w:rPr>
        <w:t xml:space="preserve">species </w:t>
      </w:r>
      <w:proofErr w:type="gramStart"/>
      <w:r w:rsidRPr="00FC279C">
        <w:rPr>
          <w:lang w:val="en-GB" w:eastAsia="en-GB"/>
        </w:rPr>
        <w:t>composition;</w:t>
      </w:r>
      <w:proofErr w:type="gramEnd"/>
      <w:r w:rsidRPr="00FC279C">
        <w:rPr>
          <w:lang w:val="en-GB" w:eastAsia="en-GB"/>
        </w:rPr>
        <w:t xml:space="preserve"> </w:t>
      </w:r>
    </w:p>
    <w:p w14:paraId="5B0E7DE7" w14:textId="77777777" w:rsidR="00FC279C" w:rsidRPr="00FC279C" w:rsidRDefault="00FC279C" w:rsidP="00DB1018">
      <w:pPr>
        <w:numPr>
          <w:ilvl w:val="0"/>
          <w:numId w:val="10"/>
        </w:numPr>
        <w:rPr>
          <w:lang w:val="en-GB" w:eastAsia="en-GB"/>
        </w:rPr>
      </w:pPr>
      <w:r w:rsidRPr="00FC279C">
        <w:rPr>
          <w:lang w:val="en-GB" w:eastAsia="en-GB"/>
        </w:rPr>
        <w:t xml:space="preserve">woodland </w:t>
      </w:r>
      <w:proofErr w:type="gramStart"/>
      <w:r w:rsidRPr="00FC279C">
        <w:rPr>
          <w:lang w:val="en-GB" w:eastAsia="en-GB"/>
        </w:rPr>
        <w:t>age;</w:t>
      </w:r>
      <w:proofErr w:type="gramEnd"/>
      <w:r w:rsidRPr="00FC279C">
        <w:rPr>
          <w:lang w:val="en-GB" w:eastAsia="en-GB"/>
        </w:rPr>
        <w:t xml:space="preserve"> </w:t>
      </w:r>
    </w:p>
    <w:p w14:paraId="5600F669" w14:textId="77777777" w:rsidR="00FC279C" w:rsidRPr="00FC279C" w:rsidRDefault="00FC279C" w:rsidP="00DB1018">
      <w:pPr>
        <w:numPr>
          <w:ilvl w:val="0"/>
          <w:numId w:val="10"/>
        </w:numPr>
        <w:rPr>
          <w:lang w:val="en-GB" w:eastAsia="en-GB"/>
        </w:rPr>
      </w:pPr>
      <w:r w:rsidRPr="00FC279C">
        <w:rPr>
          <w:lang w:val="en-GB" w:eastAsia="en-GB"/>
        </w:rPr>
        <w:t xml:space="preserve">planting </w:t>
      </w:r>
      <w:proofErr w:type="gramStart"/>
      <w:r w:rsidRPr="00FC279C">
        <w:rPr>
          <w:lang w:val="en-GB" w:eastAsia="en-GB"/>
        </w:rPr>
        <w:t>density;</w:t>
      </w:r>
      <w:proofErr w:type="gramEnd"/>
      <w:r w:rsidRPr="00FC279C">
        <w:rPr>
          <w:lang w:val="en-GB" w:eastAsia="en-GB"/>
        </w:rPr>
        <w:t xml:space="preserve"> </w:t>
      </w:r>
    </w:p>
    <w:p w14:paraId="7DF9FEC5" w14:textId="77777777" w:rsidR="00FC279C" w:rsidRPr="00FC279C" w:rsidRDefault="00FC279C" w:rsidP="00DB1018">
      <w:pPr>
        <w:numPr>
          <w:ilvl w:val="0"/>
          <w:numId w:val="10"/>
        </w:numPr>
        <w:rPr>
          <w:lang w:val="en-GB" w:eastAsia="en-GB"/>
        </w:rPr>
      </w:pPr>
      <w:r w:rsidRPr="00FC279C">
        <w:rPr>
          <w:lang w:val="en-GB" w:eastAsia="en-GB"/>
        </w:rPr>
        <w:t xml:space="preserve">local management </w:t>
      </w:r>
      <w:proofErr w:type="gramStart"/>
      <w:r w:rsidRPr="00FC279C">
        <w:rPr>
          <w:lang w:val="en-GB" w:eastAsia="en-GB"/>
        </w:rPr>
        <w:t>practices;</w:t>
      </w:r>
      <w:proofErr w:type="gramEnd"/>
      <w:r w:rsidRPr="00FC279C">
        <w:rPr>
          <w:lang w:val="en-GB" w:eastAsia="en-GB"/>
        </w:rPr>
        <w:t xml:space="preserve"> </w:t>
      </w:r>
    </w:p>
    <w:p w14:paraId="7AAFC998" w14:textId="77777777" w:rsidR="00FC279C" w:rsidRPr="00FC279C" w:rsidRDefault="00FC279C" w:rsidP="00DB1018">
      <w:pPr>
        <w:numPr>
          <w:ilvl w:val="0"/>
          <w:numId w:val="10"/>
        </w:numPr>
        <w:rPr>
          <w:lang w:val="en-GB" w:eastAsia="en-GB"/>
        </w:rPr>
      </w:pPr>
      <w:r w:rsidRPr="00FC279C">
        <w:rPr>
          <w:lang w:val="en-GB" w:eastAsia="en-GB"/>
        </w:rPr>
        <w:t xml:space="preserve">site-specific ecological conditions. </w:t>
      </w:r>
    </w:p>
    <w:p w14:paraId="5652BC89" w14:textId="5134E5B1" w:rsidR="00FC279C" w:rsidRPr="00FC279C" w:rsidRDefault="00FC279C" w:rsidP="00FC279C">
      <w:pPr>
        <w:pStyle w:val="Heading2"/>
      </w:pPr>
      <w:r w:rsidRPr="00FC279C">
        <w:t xml:space="preserve"> Management Interventions</w:t>
      </w:r>
    </w:p>
    <w:p w14:paraId="3F17BC38" w14:textId="77777777" w:rsidR="00FC279C" w:rsidRPr="00FC279C" w:rsidRDefault="00FC279C" w:rsidP="00FC279C">
      <w:pPr>
        <w:rPr>
          <w:lang w:val="en-GB" w:eastAsia="en-GB"/>
        </w:rPr>
      </w:pPr>
      <w:r w:rsidRPr="00FC279C">
        <w:rPr>
          <w:lang w:val="en-GB" w:eastAsia="en-GB"/>
        </w:rPr>
        <w:t>Many beneficial management interventions will not immediately alter reported sequestration values.</w:t>
      </w:r>
    </w:p>
    <w:p w14:paraId="0C9C9221" w14:textId="77777777" w:rsidR="00FC279C" w:rsidRPr="00FC279C" w:rsidRDefault="00FC279C" w:rsidP="00FC279C">
      <w:pPr>
        <w:rPr>
          <w:lang w:val="en-GB" w:eastAsia="en-GB"/>
        </w:rPr>
      </w:pPr>
      <w:r w:rsidRPr="00FC279C">
        <w:rPr>
          <w:lang w:val="en-GB" w:eastAsia="en-GB"/>
        </w:rPr>
        <w:t>Examples include:</w:t>
      </w:r>
    </w:p>
    <w:p w14:paraId="6D9EB109" w14:textId="77777777" w:rsidR="00FC279C" w:rsidRPr="00FC279C" w:rsidRDefault="00FC279C" w:rsidP="00DB1018">
      <w:pPr>
        <w:numPr>
          <w:ilvl w:val="0"/>
          <w:numId w:val="11"/>
        </w:numPr>
        <w:rPr>
          <w:lang w:val="en-GB" w:eastAsia="en-GB"/>
        </w:rPr>
      </w:pPr>
      <w:r w:rsidRPr="00FC279C">
        <w:rPr>
          <w:lang w:val="en-GB" w:eastAsia="en-GB"/>
        </w:rPr>
        <w:t xml:space="preserve">tree planting within existing </w:t>
      </w:r>
      <w:proofErr w:type="gramStart"/>
      <w:r w:rsidRPr="00FC279C">
        <w:rPr>
          <w:lang w:val="en-GB" w:eastAsia="en-GB"/>
        </w:rPr>
        <w:t>woodland;</w:t>
      </w:r>
      <w:proofErr w:type="gramEnd"/>
      <w:r w:rsidRPr="00FC279C">
        <w:rPr>
          <w:lang w:val="en-GB" w:eastAsia="en-GB"/>
        </w:rPr>
        <w:t xml:space="preserve"> </w:t>
      </w:r>
    </w:p>
    <w:p w14:paraId="7BFA972F" w14:textId="77777777" w:rsidR="00FC279C" w:rsidRPr="00FC279C" w:rsidRDefault="00FC279C" w:rsidP="00DB1018">
      <w:pPr>
        <w:numPr>
          <w:ilvl w:val="0"/>
          <w:numId w:val="11"/>
        </w:numPr>
        <w:rPr>
          <w:lang w:val="en-GB" w:eastAsia="en-GB"/>
        </w:rPr>
      </w:pPr>
      <w:r w:rsidRPr="00FC279C">
        <w:rPr>
          <w:lang w:val="en-GB" w:eastAsia="en-GB"/>
        </w:rPr>
        <w:t xml:space="preserve">reduced mowing </w:t>
      </w:r>
      <w:proofErr w:type="gramStart"/>
      <w:r w:rsidRPr="00FC279C">
        <w:rPr>
          <w:lang w:val="en-GB" w:eastAsia="en-GB"/>
        </w:rPr>
        <w:t>frequency;</w:t>
      </w:r>
      <w:proofErr w:type="gramEnd"/>
      <w:r w:rsidRPr="00FC279C">
        <w:rPr>
          <w:lang w:val="en-GB" w:eastAsia="en-GB"/>
        </w:rPr>
        <w:t xml:space="preserve"> </w:t>
      </w:r>
    </w:p>
    <w:p w14:paraId="5786DC16" w14:textId="77777777" w:rsidR="00FC279C" w:rsidRPr="00FC279C" w:rsidRDefault="00FC279C" w:rsidP="00DB1018">
      <w:pPr>
        <w:numPr>
          <w:ilvl w:val="0"/>
          <w:numId w:val="11"/>
        </w:numPr>
        <w:rPr>
          <w:lang w:val="en-GB" w:eastAsia="en-GB"/>
        </w:rPr>
      </w:pPr>
      <w:r w:rsidRPr="00FC279C">
        <w:rPr>
          <w:lang w:val="en-GB" w:eastAsia="en-GB"/>
        </w:rPr>
        <w:t xml:space="preserve">habitat </w:t>
      </w:r>
      <w:proofErr w:type="gramStart"/>
      <w:r w:rsidRPr="00FC279C">
        <w:rPr>
          <w:lang w:val="en-GB" w:eastAsia="en-GB"/>
        </w:rPr>
        <w:t>enhancement;</w:t>
      </w:r>
      <w:proofErr w:type="gramEnd"/>
      <w:r w:rsidRPr="00FC279C">
        <w:rPr>
          <w:lang w:val="en-GB" w:eastAsia="en-GB"/>
        </w:rPr>
        <w:t xml:space="preserve"> </w:t>
      </w:r>
    </w:p>
    <w:p w14:paraId="6BB61520" w14:textId="77777777" w:rsidR="00FC279C" w:rsidRPr="00FC279C" w:rsidRDefault="00FC279C" w:rsidP="00DB1018">
      <w:pPr>
        <w:numPr>
          <w:ilvl w:val="0"/>
          <w:numId w:val="11"/>
        </w:numPr>
        <w:rPr>
          <w:lang w:val="en-GB" w:eastAsia="en-GB"/>
        </w:rPr>
      </w:pPr>
      <w:r w:rsidRPr="00FC279C">
        <w:rPr>
          <w:lang w:val="en-GB" w:eastAsia="en-GB"/>
        </w:rPr>
        <w:t xml:space="preserve">improved ecological management. </w:t>
      </w:r>
    </w:p>
    <w:p w14:paraId="4355645C" w14:textId="77777777" w:rsidR="00FC279C" w:rsidRPr="00FC279C" w:rsidRDefault="00FC279C" w:rsidP="00FC279C">
      <w:pPr>
        <w:rPr>
          <w:lang w:val="en-GB" w:eastAsia="en-GB"/>
        </w:rPr>
      </w:pPr>
      <w:r w:rsidRPr="00FC279C">
        <w:rPr>
          <w:lang w:val="en-GB" w:eastAsia="en-GB"/>
        </w:rPr>
        <w:t>This limitation arises because the methodology operates at broad land-use category level rather than detailed ecological condition level.</w:t>
      </w:r>
    </w:p>
    <w:p w14:paraId="3DF80174" w14:textId="77777777" w:rsidR="00FC279C" w:rsidRPr="00FC279C" w:rsidRDefault="00FC279C" w:rsidP="00FC279C">
      <w:pPr>
        <w:rPr>
          <w:lang w:val="en-GB" w:eastAsia="en-GB"/>
        </w:rPr>
      </w:pPr>
      <w:r w:rsidRPr="00FC279C">
        <w:rPr>
          <w:lang w:val="en-GB" w:eastAsia="en-GB"/>
        </w:rPr>
        <w:t>Authorities should continue to pursue nature-positive and climate-positive interventions regardless of whether immediate changes are reflected in reported sequestration figures.</w:t>
      </w:r>
    </w:p>
    <w:p w14:paraId="6E77689B" w14:textId="27254B5B" w:rsidR="00FC279C" w:rsidRPr="00FC279C" w:rsidRDefault="00FC279C" w:rsidP="00FC279C">
      <w:pPr>
        <w:pStyle w:val="Heading2"/>
      </w:pPr>
      <w:r w:rsidRPr="00FC279C">
        <w:t>Stability of Results</w:t>
      </w:r>
    </w:p>
    <w:p w14:paraId="75F5038F" w14:textId="77777777" w:rsidR="00FC279C" w:rsidRPr="00FC279C" w:rsidRDefault="00FC279C" w:rsidP="00FC279C">
      <w:pPr>
        <w:rPr>
          <w:lang w:val="en-GB" w:eastAsia="en-GB"/>
        </w:rPr>
      </w:pPr>
      <w:r w:rsidRPr="00FC279C">
        <w:rPr>
          <w:lang w:val="en-GB" w:eastAsia="en-GB"/>
        </w:rPr>
        <w:t>Reported sequestration values are expected to remain relatively stable over time.</w:t>
      </w:r>
    </w:p>
    <w:p w14:paraId="53966B86" w14:textId="77777777" w:rsidR="00FC279C" w:rsidRPr="00FC279C" w:rsidRDefault="00FC279C" w:rsidP="00FC279C">
      <w:pPr>
        <w:rPr>
          <w:lang w:val="en-GB" w:eastAsia="en-GB"/>
        </w:rPr>
      </w:pPr>
      <w:r w:rsidRPr="00FC279C">
        <w:rPr>
          <w:lang w:val="en-GB" w:eastAsia="en-GB"/>
        </w:rPr>
        <w:t>Significant changes will generally occur only where:</w:t>
      </w:r>
    </w:p>
    <w:p w14:paraId="4CA7E725" w14:textId="77777777" w:rsidR="00FC279C" w:rsidRPr="00FC279C" w:rsidRDefault="00FC279C" w:rsidP="00DB1018">
      <w:pPr>
        <w:numPr>
          <w:ilvl w:val="0"/>
          <w:numId w:val="12"/>
        </w:numPr>
        <w:rPr>
          <w:lang w:val="en-GB" w:eastAsia="en-GB"/>
        </w:rPr>
      </w:pPr>
      <w:r w:rsidRPr="00FC279C">
        <w:rPr>
          <w:lang w:val="en-GB" w:eastAsia="en-GB"/>
        </w:rPr>
        <w:t xml:space="preserve">land ownership </w:t>
      </w:r>
      <w:proofErr w:type="gramStart"/>
      <w:r w:rsidRPr="00FC279C">
        <w:rPr>
          <w:lang w:val="en-GB" w:eastAsia="en-GB"/>
        </w:rPr>
        <w:t>changes;</w:t>
      </w:r>
      <w:proofErr w:type="gramEnd"/>
      <w:r w:rsidRPr="00FC279C">
        <w:rPr>
          <w:lang w:val="en-GB" w:eastAsia="en-GB"/>
        </w:rPr>
        <w:t xml:space="preserve"> </w:t>
      </w:r>
    </w:p>
    <w:p w14:paraId="605B4CC2" w14:textId="77777777" w:rsidR="00FC279C" w:rsidRPr="00FC279C" w:rsidRDefault="00FC279C" w:rsidP="00DB1018">
      <w:pPr>
        <w:numPr>
          <w:ilvl w:val="0"/>
          <w:numId w:val="12"/>
        </w:numPr>
        <w:rPr>
          <w:lang w:val="en-GB" w:eastAsia="en-GB"/>
        </w:rPr>
      </w:pPr>
      <w:r w:rsidRPr="00FC279C">
        <w:rPr>
          <w:lang w:val="en-GB" w:eastAsia="en-GB"/>
        </w:rPr>
        <w:t xml:space="preserve">land management responsibility </w:t>
      </w:r>
      <w:proofErr w:type="gramStart"/>
      <w:r w:rsidRPr="00FC279C">
        <w:rPr>
          <w:lang w:val="en-GB" w:eastAsia="en-GB"/>
        </w:rPr>
        <w:t>changes;</w:t>
      </w:r>
      <w:proofErr w:type="gramEnd"/>
      <w:r w:rsidRPr="00FC279C">
        <w:rPr>
          <w:lang w:val="en-GB" w:eastAsia="en-GB"/>
        </w:rPr>
        <w:t xml:space="preserve"> </w:t>
      </w:r>
    </w:p>
    <w:p w14:paraId="299C91E8" w14:textId="77777777" w:rsidR="00FC279C" w:rsidRPr="00FC279C" w:rsidRDefault="00FC279C" w:rsidP="00DB1018">
      <w:pPr>
        <w:numPr>
          <w:ilvl w:val="0"/>
          <w:numId w:val="12"/>
        </w:numPr>
        <w:rPr>
          <w:lang w:val="en-GB" w:eastAsia="en-GB"/>
        </w:rPr>
      </w:pPr>
      <w:r w:rsidRPr="00FC279C">
        <w:rPr>
          <w:lang w:val="en-GB" w:eastAsia="en-GB"/>
        </w:rPr>
        <w:t xml:space="preserve">land-use classifications </w:t>
      </w:r>
      <w:proofErr w:type="gramStart"/>
      <w:r w:rsidRPr="00FC279C">
        <w:rPr>
          <w:lang w:val="en-GB" w:eastAsia="en-GB"/>
        </w:rPr>
        <w:t>change;</w:t>
      </w:r>
      <w:proofErr w:type="gramEnd"/>
      <w:r w:rsidRPr="00FC279C">
        <w:rPr>
          <w:lang w:val="en-GB" w:eastAsia="en-GB"/>
        </w:rPr>
        <w:t xml:space="preserve"> </w:t>
      </w:r>
    </w:p>
    <w:p w14:paraId="76964C8A" w14:textId="77777777" w:rsidR="00FC279C" w:rsidRPr="00FC279C" w:rsidRDefault="00FC279C" w:rsidP="00DB1018">
      <w:pPr>
        <w:numPr>
          <w:ilvl w:val="0"/>
          <w:numId w:val="12"/>
        </w:numPr>
        <w:rPr>
          <w:lang w:val="en-GB" w:eastAsia="en-GB"/>
        </w:rPr>
      </w:pPr>
      <w:r w:rsidRPr="00FC279C">
        <w:rPr>
          <w:lang w:val="en-GB" w:eastAsia="en-GB"/>
        </w:rPr>
        <w:t xml:space="preserve">national carbon factors are updated. </w:t>
      </w:r>
    </w:p>
    <w:p w14:paraId="3DA64736" w14:textId="58069237" w:rsidR="00FC279C" w:rsidRPr="00FC279C" w:rsidRDefault="00FC279C" w:rsidP="00FC279C">
      <w:pPr>
        <w:pStyle w:val="Heading2"/>
      </w:pPr>
      <w:r w:rsidRPr="00FC279C">
        <w:t xml:space="preserve"> Reporting Context</w:t>
      </w:r>
    </w:p>
    <w:p w14:paraId="2F06BF01" w14:textId="77777777" w:rsidR="00FC279C" w:rsidRPr="00FC279C" w:rsidRDefault="00FC279C" w:rsidP="00FC279C">
      <w:pPr>
        <w:rPr>
          <w:lang w:val="en-GB" w:eastAsia="en-GB"/>
        </w:rPr>
      </w:pPr>
      <w:r w:rsidRPr="00FC279C">
        <w:rPr>
          <w:lang w:val="en-GB" w:eastAsia="en-GB"/>
        </w:rPr>
        <w:t>The methodology is intended to improve understanding of organisational carbon balances.</w:t>
      </w:r>
    </w:p>
    <w:p w14:paraId="30DA61C8" w14:textId="77777777" w:rsidR="00FC279C" w:rsidRPr="00FC279C" w:rsidRDefault="00FC279C" w:rsidP="00FC279C">
      <w:pPr>
        <w:rPr>
          <w:lang w:val="en-GB" w:eastAsia="en-GB"/>
        </w:rPr>
      </w:pPr>
      <w:r w:rsidRPr="00FC279C">
        <w:rPr>
          <w:lang w:val="en-GB" w:eastAsia="en-GB"/>
        </w:rPr>
        <w:t>It should not be used to:</w:t>
      </w:r>
    </w:p>
    <w:p w14:paraId="44E5F605" w14:textId="77777777" w:rsidR="00FC279C" w:rsidRPr="00FC279C" w:rsidRDefault="00FC279C" w:rsidP="00DB1018">
      <w:pPr>
        <w:numPr>
          <w:ilvl w:val="0"/>
          <w:numId w:val="13"/>
        </w:numPr>
        <w:rPr>
          <w:lang w:val="en-GB" w:eastAsia="en-GB"/>
        </w:rPr>
      </w:pPr>
      <w:r w:rsidRPr="00FC279C">
        <w:rPr>
          <w:lang w:val="en-GB" w:eastAsia="en-GB"/>
        </w:rPr>
        <w:t xml:space="preserve">generate carbon </w:t>
      </w:r>
      <w:proofErr w:type="gramStart"/>
      <w:r w:rsidRPr="00FC279C">
        <w:rPr>
          <w:lang w:val="en-GB" w:eastAsia="en-GB"/>
        </w:rPr>
        <w:t>credits;</w:t>
      </w:r>
      <w:proofErr w:type="gramEnd"/>
      <w:r w:rsidRPr="00FC279C">
        <w:rPr>
          <w:lang w:val="en-GB" w:eastAsia="en-GB"/>
        </w:rPr>
        <w:t xml:space="preserve"> </w:t>
      </w:r>
    </w:p>
    <w:p w14:paraId="451BF8C8" w14:textId="77777777" w:rsidR="00FC279C" w:rsidRPr="00FC279C" w:rsidRDefault="00FC279C" w:rsidP="00DB1018">
      <w:pPr>
        <w:numPr>
          <w:ilvl w:val="0"/>
          <w:numId w:val="13"/>
        </w:numPr>
        <w:rPr>
          <w:lang w:val="en-GB" w:eastAsia="en-GB"/>
        </w:rPr>
      </w:pPr>
      <w:r w:rsidRPr="00FC279C">
        <w:rPr>
          <w:lang w:val="en-GB" w:eastAsia="en-GB"/>
        </w:rPr>
        <w:t xml:space="preserve">support offsetting </w:t>
      </w:r>
      <w:proofErr w:type="gramStart"/>
      <w:r w:rsidRPr="00FC279C">
        <w:rPr>
          <w:lang w:val="en-GB" w:eastAsia="en-GB"/>
        </w:rPr>
        <w:t>claims;</w:t>
      </w:r>
      <w:proofErr w:type="gramEnd"/>
      <w:r w:rsidRPr="00FC279C">
        <w:rPr>
          <w:lang w:val="en-GB" w:eastAsia="en-GB"/>
        </w:rPr>
        <w:t xml:space="preserve"> </w:t>
      </w:r>
    </w:p>
    <w:p w14:paraId="5D23D7C3" w14:textId="77777777" w:rsidR="00FC279C" w:rsidRPr="00FC279C" w:rsidRDefault="00FC279C" w:rsidP="00DB1018">
      <w:pPr>
        <w:numPr>
          <w:ilvl w:val="0"/>
          <w:numId w:val="13"/>
        </w:numPr>
        <w:rPr>
          <w:lang w:val="en-GB" w:eastAsia="en-GB"/>
        </w:rPr>
      </w:pPr>
      <w:r w:rsidRPr="00FC279C">
        <w:rPr>
          <w:lang w:val="en-GB" w:eastAsia="en-GB"/>
        </w:rPr>
        <w:t xml:space="preserve">justify increased </w:t>
      </w:r>
      <w:proofErr w:type="gramStart"/>
      <w:r w:rsidRPr="00FC279C">
        <w:rPr>
          <w:lang w:val="en-GB" w:eastAsia="en-GB"/>
        </w:rPr>
        <w:t>emissions;</w:t>
      </w:r>
      <w:proofErr w:type="gramEnd"/>
      <w:r w:rsidRPr="00FC279C">
        <w:rPr>
          <w:lang w:val="en-GB" w:eastAsia="en-GB"/>
        </w:rPr>
        <w:t xml:space="preserve"> </w:t>
      </w:r>
    </w:p>
    <w:p w14:paraId="43193C24" w14:textId="77777777" w:rsidR="00FC279C" w:rsidRPr="00FC279C" w:rsidRDefault="00FC279C" w:rsidP="00DB1018">
      <w:pPr>
        <w:numPr>
          <w:ilvl w:val="0"/>
          <w:numId w:val="13"/>
        </w:numPr>
        <w:rPr>
          <w:lang w:val="en-GB" w:eastAsia="en-GB"/>
        </w:rPr>
      </w:pPr>
      <w:r w:rsidRPr="00FC279C">
        <w:rPr>
          <w:lang w:val="en-GB" w:eastAsia="en-GB"/>
        </w:rPr>
        <w:t xml:space="preserve">replace emissions reduction activity. </w:t>
      </w:r>
    </w:p>
    <w:p w14:paraId="3A2504EC" w14:textId="77777777" w:rsidR="00FC279C" w:rsidRPr="00FC279C" w:rsidRDefault="00FC279C" w:rsidP="00FC279C">
      <w:pPr>
        <w:rPr>
          <w:lang w:val="en-GB" w:eastAsia="en-GB"/>
        </w:rPr>
      </w:pPr>
      <w:r w:rsidRPr="00FC279C">
        <w:rPr>
          <w:lang w:val="en-GB" w:eastAsia="en-GB"/>
        </w:rPr>
        <w:t>Reported sequestration should always be presented alongside gross emissions and within the context of ongoing decarbonisation activity.</w:t>
      </w:r>
    </w:p>
    <w:p w14:paraId="71110F03" w14:textId="2301FBBB" w:rsidR="00761E69" w:rsidRDefault="00761E69" w:rsidP="00761E69">
      <w:pPr>
        <w:pStyle w:val="Heading1"/>
      </w:pPr>
      <w:bookmarkStart w:id="35" w:name="_Toc231485125"/>
      <w:r>
        <w:t xml:space="preserve">Appendix </w:t>
      </w:r>
      <w:r>
        <w:t>7</w:t>
      </w:r>
      <w:r>
        <w:t xml:space="preserve">: Glossary </w:t>
      </w:r>
      <w:r>
        <w:rPr>
          <w:rStyle w:val="FootnoteReference"/>
        </w:rPr>
        <w:footnoteReference w:id="20"/>
      </w:r>
      <w:bookmarkEnd w:id="35"/>
      <w:r>
        <w:t xml:space="preserve"> </w:t>
      </w:r>
    </w:p>
    <w:p w14:paraId="3679D0A4" w14:textId="77777777" w:rsidR="00761E69" w:rsidRPr="00FC279C" w:rsidRDefault="00761E69" w:rsidP="00761E69">
      <w:pPr>
        <w:pStyle w:val="NormalWeb"/>
        <w:shd w:val="clear" w:color="auto" w:fill="FFFFFF"/>
      </w:pPr>
      <w:r>
        <w:rPr>
          <w:rFonts w:ascii="Arial" w:eastAsia="Arial MT" w:hAnsi="Arial" w:cs="Arial MT"/>
          <w:b/>
          <w:bCs/>
          <w:szCs w:val="22"/>
        </w:rPr>
        <w:t xml:space="preserve">Carbon stock change: </w:t>
      </w:r>
      <w:r w:rsidRPr="00FC279C">
        <w:t>T</w:t>
      </w:r>
      <w:r w:rsidRPr="00FC279C">
        <w:rPr>
          <w:rFonts w:ascii="Arial" w:eastAsia="Arial MT" w:hAnsi="Arial" w:cs="Arial MT"/>
          <w:szCs w:val="22"/>
        </w:rPr>
        <w:t>he annual change in carbon stored within vegetation, dead organic matter and soils.</w:t>
      </w:r>
    </w:p>
    <w:p w14:paraId="7A45E271" w14:textId="77777777" w:rsidR="00761E69" w:rsidRPr="00AE4933" w:rsidRDefault="00761E69" w:rsidP="00761E69">
      <w:pPr>
        <w:pStyle w:val="pf0"/>
        <w:rPr>
          <w:rFonts w:ascii="Arial" w:hAnsi="Arial" w:cs="Arial"/>
          <w:sz w:val="20"/>
          <w:szCs w:val="20"/>
        </w:rPr>
      </w:pPr>
      <w:r w:rsidRPr="002F6D01">
        <w:rPr>
          <w:rFonts w:ascii="Arial" w:eastAsia="Arial MT" w:hAnsi="Arial" w:cs="Arial MT"/>
          <w:b/>
          <w:bCs/>
          <w:szCs w:val="22"/>
        </w:rPr>
        <w:t>Carbon Baseline year:</w:t>
      </w:r>
      <w:r>
        <w:t xml:space="preserve"> </w:t>
      </w:r>
      <w:r w:rsidRPr="00AE4933">
        <w:rPr>
          <w:rFonts w:ascii="Arial" w:eastAsia="Arial MT" w:hAnsi="Arial" w:cs="Arial MT"/>
          <w:szCs w:val="22"/>
        </w:rPr>
        <w:t>Refers to a starting point</w:t>
      </w:r>
      <w:r>
        <w:rPr>
          <w:rFonts w:ascii="Arial" w:eastAsia="Arial MT" w:hAnsi="Arial" w:cs="Arial MT"/>
          <w:szCs w:val="22"/>
        </w:rPr>
        <w:t>/year</w:t>
      </w:r>
      <w:r w:rsidRPr="00AE4933">
        <w:rPr>
          <w:rFonts w:ascii="Arial" w:eastAsia="Arial MT" w:hAnsi="Arial" w:cs="Arial MT"/>
          <w:szCs w:val="22"/>
        </w:rPr>
        <w:t xml:space="preserve"> for measuring and managing Local Authority greenhouse gas (GHG) emissions. This year serves as a reference point for tracking changes and progress over time</w:t>
      </w:r>
      <w:r>
        <w:rPr>
          <w:rFonts w:ascii="Arial" w:eastAsia="Arial MT" w:hAnsi="Arial" w:cs="Arial MT"/>
          <w:szCs w:val="22"/>
        </w:rPr>
        <w:t>, providing</w:t>
      </w:r>
      <w:r w:rsidRPr="00AE4933">
        <w:rPr>
          <w:rFonts w:ascii="Arial" w:eastAsia="Arial MT" w:hAnsi="Arial" w:cs="Arial MT"/>
          <w:szCs w:val="22"/>
        </w:rPr>
        <w:t xml:space="preserve"> a one-year snapshot of an organi</w:t>
      </w:r>
      <w:r>
        <w:rPr>
          <w:rFonts w:ascii="Arial" w:eastAsia="Arial MT" w:hAnsi="Arial" w:cs="Arial MT"/>
          <w:szCs w:val="22"/>
        </w:rPr>
        <w:t>s</w:t>
      </w:r>
      <w:r w:rsidRPr="00AE4933">
        <w:rPr>
          <w:rFonts w:ascii="Arial" w:eastAsia="Arial MT" w:hAnsi="Arial" w:cs="Arial MT"/>
          <w:szCs w:val="22"/>
        </w:rPr>
        <w:t>ation's emissions, providing a baseline against which future emissions can be compared</w:t>
      </w:r>
      <w:r>
        <w:rPr>
          <w:rFonts w:ascii="Arial" w:eastAsia="Arial MT" w:hAnsi="Arial" w:cs="Arial MT"/>
          <w:szCs w:val="22"/>
        </w:rPr>
        <w:t>,</w:t>
      </w:r>
      <w:r w:rsidRPr="00AE4933">
        <w:rPr>
          <w:rFonts w:ascii="Arial" w:eastAsia="Arial MT" w:hAnsi="Arial" w:cs="Arial MT"/>
          <w:szCs w:val="22"/>
        </w:rPr>
        <w:t xml:space="preserve"> to assess the effectiveness of reduction efforts.</w:t>
      </w:r>
      <w:r w:rsidRPr="00AE4933">
        <w:rPr>
          <w:rFonts w:ascii="Segoe UI" w:hAnsi="Segoe UI" w:cs="Segoe UI"/>
          <w:color w:val="001D35"/>
          <w:sz w:val="18"/>
          <w:szCs w:val="18"/>
          <w:shd w:val="clear" w:color="auto" w:fill="FFFFFF"/>
        </w:rPr>
        <w:t> </w:t>
      </w:r>
    </w:p>
    <w:p w14:paraId="660CF219" w14:textId="77777777" w:rsidR="00761E69" w:rsidRPr="002F6D01" w:rsidRDefault="00761E69" w:rsidP="00761E69">
      <w:pPr>
        <w:pStyle w:val="pf0"/>
        <w:rPr>
          <w:rFonts w:ascii="Arial" w:eastAsia="Arial MT" w:hAnsi="Arial" w:cs="Arial MT"/>
          <w:szCs w:val="22"/>
        </w:rPr>
      </w:pPr>
      <w:r w:rsidRPr="002F6D01">
        <w:rPr>
          <w:rFonts w:ascii="Arial" w:eastAsia="Arial MT" w:hAnsi="Arial" w:cs="Arial MT"/>
          <w:b/>
          <w:bCs/>
          <w:szCs w:val="22"/>
        </w:rPr>
        <w:t>Carbon offset projects:</w:t>
      </w:r>
      <w:r>
        <w:rPr>
          <w:rFonts w:ascii="Arial" w:eastAsia="Arial MT" w:hAnsi="Arial" w:cs="Arial MT"/>
          <w:szCs w:val="22"/>
        </w:rPr>
        <w:t xml:space="preserve"> </w:t>
      </w:r>
      <w:r w:rsidRPr="002F6D01">
        <w:rPr>
          <w:rFonts w:ascii="Arial" w:eastAsia="Arial MT" w:hAnsi="Arial" w:cs="Arial MT"/>
          <w:szCs w:val="22"/>
        </w:rPr>
        <w:t>Projects designed with the purpose of carbon removal or emissions reduction, and which use carbon offset credits as a financing mechanism: once verified by a carbon standard the project issues carbon credits equivalent to the amount of carbon the project will remove or avoid, which can then be purchased by individuals or businesses who want to offset their own emissions.</w:t>
      </w:r>
    </w:p>
    <w:p w14:paraId="19B09C66" w14:textId="77777777" w:rsidR="00761E69" w:rsidRPr="003E2FFD" w:rsidRDefault="00761E69" w:rsidP="00761E69">
      <w:pPr>
        <w:pStyle w:val="pf0"/>
        <w:rPr>
          <w:rFonts w:ascii="Arial" w:eastAsia="Arial MT" w:hAnsi="Arial" w:cs="Arial MT"/>
          <w:szCs w:val="22"/>
        </w:rPr>
      </w:pPr>
      <w:r w:rsidRPr="003E2FFD">
        <w:rPr>
          <w:rFonts w:ascii="Arial" w:eastAsia="Arial MT" w:hAnsi="Arial" w:cs="Arial MT"/>
          <w:b/>
          <w:bCs/>
          <w:szCs w:val="22"/>
        </w:rPr>
        <w:t>Gross sequestration:</w:t>
      </w:r>
      <w:r w:rsidRPr="003E2FFD">
        <w:rPr>
          <w:rFonts w:ascii="Arial" w:eastAsia="Arial MT" w:hAnsi="Arial" w:cs="Arial MT"/>
          <w:szCs w:val="22"/>
        </w:rPr>
        <w:t xml:space="preserve"> The total carbon absorbed before accounting for emissions.</w:t>
      </w:r>
    </w:p>
    <w:p w14:paraId="276CBD70" w14:textId="77777777" w:rsidR="00761E69" w:rsidRDefault="00761E69" w:rsidP="00761E69">
      <w:pPr>
        <w:pStyle w:val="pf0"/>
        <w:rPr>
          <w:rFonts w:ascii="Arial" w:eastAsia="Arial MT" w:hAnsi="Arial" w:cs="Arial MT"/>
          <w:b/>
          <w:bCs/>
          <w:szCs w:val="22"/>
        </w:rPr>
      </w:pPr>
      <w:r w:rsidRPr="00FC279C">
        <w:rPr>
          <w:rFonts w:ascii="Arial" w:eastAsia="Arial MT" w:hAnsi="Arial" w:cs="Arial MT"/>
          <w:b/>
          <w:bCs/>
          <w:szCs w:val="22"/>
          <w:lang w:val="en-US"/>
        </w:rPr>
        <w:t>LULUCF</w:t>
      </w:r>
      <w:r>
        <w:rPr>
          <w:rFonts w:ascii="Arial" w:eastAsia="Arial MT" w:hAnsi="Arial" w:cs="Arial MT"/>
          <w:b/>
          <w:bCs/>
          <w:szCs w:val="22"/>
          <w:lang w:val="en-US"/>
        </w:rPr>
        <w:t xml:space="preserve">: </w:t>
      </w:r>
      <w:r w:rsidRPr="00FC279C">
        <w:rPr>
          <w:rFonts w:ascii="Arial" w:eastAsia="Arial MT" w:hAnsi="Arial" w:cs="Arial MT"/>
          <w:szCs w:val="22"/>
        </w:rPr>
        <w:t>Land Use, Land Use Change and Forestry. A greenhouse gas inventory sector used internationally to report emissions and removals associated with land.</w:t>
      </w:r>
    </w:p>
    <w:p w14:paraId="11AC3700" w14:textId="77777777" w:rsidR="00761E69" w:rsidRDefault="00761E69" w:rsidP="00761E69">
      <w:pPr>
        <w:pStyle w:val="pf0"/>
        <w:rPr>
          <w:rFonts w:ascii="Arial" w:eastAsia="Arial MT" w:hAnsi="Arial" w:cs="Arial MT"/>
          <w:szCs w:val="22"/>
        </w:rPr>
      </w:pPr>
      <w:r w:rsidRPr="003E2FFD">
        <w:rPr>
          <w:rFonts w:ascii="Arial" w:eastAsia="Arial MT" w:hAnsi="Arial" w:cs="Arial MT"/>
          <w:b/>
          <w:bCs/>
          <w:szCs w:val="22"/>
        </w:rPr>
        <w:t>Net sequestration:</w:t>
      </w:r>
      <w:r>
        <w:rPr>
          <w:rFonts w:ascii="Arial" w:eastAsia="Arial MT" w:hAnsi="Arial" w:cs="Arial MT"/>
          <w:szCs w:val="22"/>
        </w:rPr>
        <w:t xml:space="preserve"> </w:t>
      </w:r>
      <w:r w:rsidRPr="003E2FFD">
        <w:rPr>
          <w:rFonts w:ascii="Arial" w:eastAsia="Arial MT" w:hAnsi="Arial" w:cs="Arial MT"/>
          <w:szCs w:val="22"/>
        </w:rPr>
        <w:t>The net balance of carbon removed from the atmosphere after accounting for emissions from decomposition and natural processes.</w:t>
      </w:r>
    </w:p>
    <w:p w14:paraId="16C6AF27" w14:textId="77777777" w:rsidR="00761E69" w:rsidRDefault="00761E69" w:rsidP="00761E69">
      <w:pPr>
        <w:pStyle w:val="pf0"/>
        <w:rPr>
          <w:rFonts w:ascii="Arial" w:eastAsia="Arial MT" w:hAnsi="Arial" w:cs="Arial MT"/>
          <w:szCs w:val="22"/>
        </w:rPr>
      </w:pPr>
      <w:r w:rsidRPr="00877B38">
        <w:rPr>
          <w:rFonts w:ascii="Arial" w:eastAsia="Arial MT" w:hAnsi="Arial" w:cs="Arial MT"/>
          <w:b/>
          <w:bCs/>
          <w:szCs w:val="22"/>
        </w:rPr>
        <w:t>Operational Carbon Emissions</w:t>
      </w:r>
      <w:r>
        <w:rPr>
          <w:rFonts w:ascii="Arial" w:eastAsia="Arial MT" w:hAnsi="Arial" w:cs="Arial MT"/>
          <w:szCs w:val="22"/>
        </w:rPr>
        <w:t>: It refers to the amount of carbon emissions produced during the day-to-day activities and functions of the authority’s operation. Each Local Authority has defined its own boundaries and scope to measure and report their carbon emissions. These usually, but not always, include emissions from buildings, transportation, street lighting, waste management, any other services that consume energy from fossil fuels.</w:t>
      </w:r>
    </w:p>
    <w:p w14:paraId="5F3A2ED4" w14:textId="77777777" w:rsidR="00761E69" w:rsidRDefault="00761E69" w:rsidP="00761E69">
      <w:pPr>
        <w:pStyle w:val="pf0"/>
        <w:rPr>
          <w:rFonts w:ascii="Arial" w:eastAsia="Arial MT" w:hAnsi="Arial" w:cs="Arial MT"/>
          <w:szCs w:val="22"/>
        </w:rPr>
      </w:pPr>
      <w:r w:rsidRPr="00EA4E2B">
        <w:rPr>
          <w:rFonts w:ascii="Arial" w:eastAsia="Arial MT" w:hAnsi="Arial" w:cs="Arial MT"/>
          <w:b/>
          <w:bCs/>
          <w:szCs w:val="22"/>
        </w:rPr>
        <w:t>Principles</w:t>
      </w:r>
      <w:r>
        <w:rPr>
          <w:rFonts w:ascii="Arial" w:eastAsia="Arial MT" w:hAnsi="Arial" w:cs="Arial MT"/>
          <w:szCs w:val="22"/>
        </w:rPr>
        <w:t xml:space="preserve">: Principles are guiding beliefs and values that influence the decision making of carbon accounting. These are less concrete than criteria and more subjective, influencing how organisations choose to act. </w:t>
      </w:r>
    </w:p>
    <w:p w14:paraId="562355AE" w14:textId="77777777" w:rsidR="00761E69" w:rsidRDefault="00761E69" w:rsidP="00761E69">
      <w:pPr>
        <w:pStyle w:val="pf0"/>
        <w:rPr>
          <w:rFonts w:ascii="Arial" w:eastAsia="Arial MT" w:hAnsi="Arial" w:cs="Arial MT"/>
          <w:szCs w:val="22"/>
        </w:rPr>
      </w:pPr>
      <w:r w:rsidRPr="002F6D01">
        <w:rPr>
          <w:rFonts w:ascii="Arial" w:eastAsia="Arial MT" w:hAnsi="Arial" w:cs="Arial MT"/>
          <w:b/>
          <w:bCs/>
          <w:szCs w:val="22"/>
        </w:rPr>
        <w:t>Project baseline:</w:t>
      </w:r>
      <w:r w:rsidRPr="002F6D01">
        <w:rPr>
          <w:rFonts w:ascii="Arial" w:eastAsia="Arial MT" w:hAnsi="Arial" w:cs="Arial MT"/>
          <w:szCs w:val="22"/>
        </w:rPr>
        <w:t xml:space="preserve"> Every carbon offset project needs to calculate a baseline as part of the project design and development, because it is used as the reference point to measure the project’s impact against. The actual emissions avoided or removed during the project’s lifetime are measured using this baseline to determine overall impact.</w:t>
      </w:r>
    </w:p>
    <w:p w14:paraId="249AC5CF" w14:textId="77777777" w:rsidR="00761E69" w:rsidRDefault="00761E69" w:rsidP="00761E69">
      <w:pPr>
        <w:pStyle w:val="pf0"/>
        <w:rPr>
          <w:rFonts w:ascii="Arial" w:eastAsia="Arial MT" w:hAnsi="Arial" w:cs="Arial MT"/>
          <w:szCs w:val="22"/>
        </w:rPr>
      </w:pPr>
      <w:r w:rsidRPr="0069768E">
        <w:rPr>
          <w:rFonts w:ascii="Arial" w:eastAsia="Arial MT" w:hAnsi="Arial" w:cs="Arial MT"/>
          <w:b/>
          <w:bCs/>
          <w:szCs w:val="22"/>
        </w:rPr>
        <w:t xml:space="preserve">Sequestration: </w:t>
      </w:r>
      <w:r w:rsidRPr="003E2FFD">
        <w:rPr>
          <w:rFonts w:ascii="Arial" w:eastAsia="Arial MT" w:hAnsi="Arial" w:cs="Arial MT"/>
          <w:szCs w:val="22"/>
        </w:rPr>
        <w:t>The process by which carbon dioxide is removed from the atmosphere and stored in vegetation, soils, or other natural systems.</w:t>
      </w:r>
    </w:p>
    <w:p w14:paraId="60A3689E" w14:textId="77777777" w:rsidR="00761E69" w:rsidRPr="002F6D01" w:rsidRDefault="00761E69" w:rsidP="00761E69">
      <w:pPr>
        <w:pStyle w:val="pf0"/>
        <w:rPr>
          <w:rFonts w:ascii="Arial" w:eastAsia="Arial MT" w:hAnsi="Arial" w:cs="Arial MT"/>
          <w:szCs w:val="22"/>
        </w:rPr>
      </w:pPr>
      <w:r w:rsidRPr="00EA4E2B">
        <w:rPr>
          <w:rFonts w:ascii="Arial" w:eastAsia="Arial MT" w:hAnsi="Arial" w:cs="Arial MT"/>
          <w:b/>
          <w:bCs/>
          <w:szCs w:val="22"/>
        </w:rPr>
        <w:t>Standards</w:t>
      </w:r>
      <w:r>
        <w:rPr>
          <w:rFonts w:ascii="Arial" w:eastAsia="Arial MT" w:hAnsi="Arial" w:cs="Arial MT"/>
          <w:szCs w:val="22"/>
        </w:rPr>
        <w:t xml:space="preserve">: Standards are established levels of quality or norms used as measures for models. These serve as a reference for LAs’ carbon approach. </w:t>
      </w:r>
    </w:p>
    <w:p w14:paraId="77F16E1B" w14:textId="77777777" w:rsidR="00761E69" w:rsidRPr="00FC279C" w:rsidRDefault="00761E69" w:rsidP="00761E69">
      <w:pPr>
        <w:pStyle w:val="pf0"/>
        <w:tabs>
          <w:tab w:val="left" w:pos="993"/>
        </w:tabs>
        <w:rPr>
          <w:rFonts w:ascii="Arial" w:eastAsia="Arial MT" w:hAnsi="Arial" w:cs="Arial MT"/>
          <w:szCs w:val="22"/>
        </w:rPr>
      </w:pPr>
      <w:r w:rsidRPr="00FC279C">
        <w:rPr>
          <w:rFonts w:ascii="Arial" w:eastAsia="Arial MT" w:hAnsi="Arial" w:cs="Arial MT"/>
          <w:b/>
          <w:bCs/>
          <w:szCs w:val="22"/>
        </w:rPr>
        <w:t>Stock-Change Factor:</w:t>
      </w:r>
      <w:r>
        <w:rPr>
          <w:rFonts w:ascii="Arial" w:eastAsia="Arial MT" w:hAnsi="Arial" w:cs="Arial MT"/>
          <w:szCs w:val="22"/>
        </w:rPr>
        <w:t xml:space="preserve"> </w:t>
      </w:r>
      <w:r w:rsidRPr="00FC279C">
        <w:rPr>
          <w:rFonts w:ascii="Arial" w:eastAsia="Arial MT" w:hAnsi="Arial" w:cs="Arial MT"/>
          <w:szCs w:val="22"/>
        </w:rPr>
        <w:t>A coefficient representing the average annual change in carbon storage associated with a particular land-use category.</w:t>
      </w:r>
    </w:p>
    <w:p w14:paraId="0419F38E" w14:textId="77777777" w:rsidR="00761E69" w:rsidRPr="00FC279C" w:rsidRDefault="00761E69" w:rsidP="00761E69">
      <w:pPr>
        <w:pStyle w:val="pf0"/>
        <w:rPr>
          <w:rFonts w:ascii="Arial" w:eastAsia="Arial MT" w:hAnsi="Arial" w:cs="Arial MT"/>
          <w:szCs w:val="22"/>
        </w:rPr>
      </w:pPr>
      <w:r w:rsidRPr="00FC279C">
        <w:rPr>
          <w:rFonts w:ascii="Arial" w:eastAsia="Arial MT" w:hAnsi="Arial" w:cs="Arial MT"/>
          <w:b/>
          <w:bCs/>
          <w:szCs w:val="22"/>
        </w:rPr>
        <w:t>UNFCCC Common Reporting Tables (CRT)</w:t>
      </w:r>
      <w:r>
        <w:rPr>
          <w:rFonts w:ascii="Arial" w:eastAsia="Arial MT" w:hAnsi="Arial" w:cs="Arial MT"/>
          <w:b/>
          <w:bCs/>
          <w:szCs w:val="22"/>
        </w:rPr>
        <w:t xml:space="preserve">: </w:t>
      </w:r>
      <w:r w:rsidRPr="00FC279C">
        <w:rPr>
          <w:rFonts w:ascii="Arial" w:eastAsia="Arial MT" w:hAnsi="Arial" w:cs="Arial MT"/>
          <w:szCs w:val="22"/>
        </w:rPr>
        <w:t>The official greenhouse gas reporting tables used by countries reporting under the United Nations Framework Convention on Climate Change.</w:t>
      </w:r>
    </w:p>
    <w:p w14:paraId="0DFE550A" w14:textId="77777777" w:rsidR="00761E69" w:rsidRPr="00FC279C" w:rsidRDefault="00761E69" w:rsidP="00FC279C">
      <w:pPr>
        <w:rPr>
          <w:lang w:val="en-GB" w:eastAsia="en-GB"/>
        </w:rPr>
      </w:pPr>
    </w:p>
    <w:sectPr w:rsidR="00761E69" w:rsidRPr="00FC279C" w:rsidSect="008C1279">
      <w:headerReference w:type="default" r:id="rId10"/>
      <w:footerReference w:type="default" r:id="rId11"/>
      <w:headerReference w:type="first" r:id="rId12"/>
      <w:pgSz w:w="11910" w:h="16840"/>
      <w:pgMar w:top="1020" w:right="1137"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CCCF3" w14:textId="77777777" w:rsidR="00084191" w:rsidRDefault="00084191" w:rsidP="00543775">
      <w:r>
        <w:separator/>
      </w:r>
    </w:p>
  </w:endnote>
  <w:endnote w:type="continuationSeparator" w:id="0">
    <w:p w14:paraId="58FEFEAF" w14:textId="77777777" w:rsidR="00084191" w:rsidRDefault="00084191" w:rsidP="00543775">
      <w:r>
        <w:continuationSeparator/>
      </w:r>
    </w:p>
  </w:endnote>
  <w:endnote w:type="continuationNotice" w:id="1">
    <w:p w14:paraId="681E51B7" w14:textId="77777777" w:rsidR="00084191" w:rsidRDefault="0008419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660519"/>
      <w:docPartObj>
        <w:docPartGallery w:val="Page Numbers (Bottom of Page)"/>
        <w:docPartUnique/>
      </w:docPartObj>
    </w:sdtPr>
    <w:sdtEndPr>
      <w:rPr>
        <w:noProof/>
      </w:rPr>
    </w:sdtEndPr>
    <w:sdtContent>
      <w:p w14:paraId="31EF4918" w14:textId="6C40A2FF" w:rsidR="00016FEA" w:rsidRDefault="00016F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44343" w14:textId="77777777" w:rsidR="00084191" w:rsidRDefault="00084191" w:rsidP="00543775">
      <w:r>
        <w:separator/>
      </w:r>
    </w:p>
  </w:footnote>
  <w:footnote w:type="continuationSeparator" w:id="0">
    <w:p w14:paraId="5BDAA5D8" w14:textId="77777777" w:rsidR="00084191" w:rsidRDefault="00084191" w:rsidP="00543775">
      <w:r>
        <w:continuationSeparator/>
      </w:r>
    </w:p>
  </w:footnote>
  <w:footnote w:type="continuationNotice" w:id="1">
    <w:p w14:paraId="560AB09A" w14:textId="77777777" w:rsidR="00084191" w:rsidRDefault="00084191">
      <w:pPr>
        <w:spacing w:before="0"/>
      </w:pPr>
    </w:p>
  </w:footnote>
  <w:footnote w:id="2">
    <w:p w14:paraId="6CFE1210" w14:textId="3D9F04FA" w:rsidR="00862E54" w:rsidRDefault="00862E54">
      <w:pPr>
        <w:pStyle w:val="FootnoteText"/>
      </w:pPr>
      <w:r>
        <w:rPr>
          <w:rStyle w:val="FootnoteReference"/>
        </w:rPr>
        <w:footnoteRef/>
      </w:r>
      <w:r>
        <w:t xml:space="preserve"> </w:t>
      </w:r>
      <w:hyperlink r:id="rId1" w:history="1">
        <w:r w:rsidRPr="00862E54">
          <w:rPr>
            <w:rStyle w:val="Hyperlink"/>
          </w:rPr>
          <w:t>UK GHG Inventory 1990 to 2025</w:t>
        </w:r>
      </w:hyperlink>
      <w:r>
        <w:t xml:space="preserve"> (GHGI)</w:t>
      </w:r>
    </w:p>
  </w:footnote>
  <w:footnote w:id="3">
    <w:p w14:paraId="6C5D2C14" w14:textId="2DDD373B" w:rsidR="00862E54" w:rsidRDefault="00862E54">
      <w:pPr>
        <w:pStyle w:val="FootnoteText"/>
      </w:pPr>
      <w:r>
        <w:rPr>
          <w:rStyle w:val="FootnoteReference"/>
        </w:rPr>
        <w:footnoteRef/>
      </w:r>
      <w:r>
        <w:t xml:space="preserve"> </w:t>
      </w:r>
      <w:hyperlink r:id="rId2" w:history="1">
        <w:r w:rsidRPr="00741B93">
          <w:rPr>
            <w:rStyle w:val="Hyperlink"/>
          </w:rPr>
          <w:t>Land Use, Land-Use Change and Forestry</w:t>
        </w:r>
      </w:hyperlink>
      <w:r>
        <w:t xml:space="preserve"> (LULUCF)</w:t>
      </w:r>
    </w:p>
  </w:footnote>
  <w:footnote w:id="4">
    <w:p w14:paraId="3E618011" w14:textId="77777777" w:rsidR="00FC279C" w:rsidRPr="00EF7364" w:rsidRDefault="00FC279C" w:rsidP="00FC279C">
      <w:pPr>
        <w:pStyle w:val="FootnoteText"/>
        <w:ind w:left="0"/>
      </w:pPr>
      <w:r w:rsidRPr="00EF7364">
        <w:rPr>
          <w:rStyle w:val="FootnoteReference"/>
        </w:rPr>
        <w:footnoteRef/>
      </w:r>
      <w:r w:rsidRPr="00EF7364">
        <w:t xml:space="preserve"> </w:t>
      </w:r>
      <w:hyperlink r:id="rId3" w:history="1">
        <w:r w:rsidRPr="00EF7364">
          <w:rPr>
            <w:rStyle w:val="Hyperlink"/>
          </w:rPr>
          <w:t>Voluntary Carbon Markets and Offsetting (2022)</w:t>
        </w:r>
      </w:hyperlink>
      <w:r w:rsidRPr="00EF7364">
        <w:t xml:space="preserve">, Climate Change Committee </w:t>
      </w:r>
    </w:p>
  </w:footnote>
  <w:footnote w:id="5">
    <w:p w14:paraId="3D7AE9C3" w14:textId="77777777" w:rsidR="00FC279C" w:rsidRPr="00EF7364" w:rsidRDefault="00FC279C" w:rsidP="00FC279C">
      <w:pPr>
        <w:pStyle w:val="FootnoteText"/>
        <w:ind w:left="0"/>
      </w:pPr>
      <w:r w:rsidRPr="00EF7364">
        <w:rPr>
          <w:rStyle w:val="FootnoteReference"/>
        </w:rPr>
        <w:footnoteRef/>
      </w:r>
      <w:r w:rsidRPr="00EF7364">
        <w:t xml:space="preserve"> </w:t>
      </w:r>
      <w:hyperlink r:id="rId4" w:anchor=":~:text=The%20Green%20Book%20is%20guidance,before%2C%20during%20and%20after%20implementation." w:history="1">
        <w:r w:rsidRPr="00EF7364">
          <w:rPr>
            <w:rStyle w:val="Hyperlink"/>
          </w:rPr>
          <w:t>The Green Book (2022)</w:t>
        </w:r>
      </w:hyperlink>
      <w:r w:rsidRPr="00EF7364">
        <w:t>, HM Government</w:t>
      </w:r>
    </w:p>
  </w:footnote>
  <w:footnote w:id="6">
    <w:p w14:paraId="2F66B2A9" w14:textId="77777777" w:rsidR="00FC279C" w:rsidRDefault="00FC279C" w:rsidP="00FC279C">
      <w:pPr>
        <w:pStyle w:val="FootnoteText"/>
        <w:ind w:left="0"/>
      </w:pPr>
      <w:r>
        <w:rPr>
          <w:rStyle w:val="FootnoteReference"/>
        </w:rPr>
        <w:footnoteRef/>
      </w:r>
      <w:r>
        <w:t xml:space="preserve"> </w:t>
      </w:r>
      <w:hyperlink r:id="rId5" w:history="1">
        <w:r w:rsidRPr="00D233F5">
          <w:rPr>
            <w:rStyle w:val="Hyperlink"/>
          </w:rPr>
          <w:t>The Carbon management of landscapes and green infrastructure: Darlington (2024),</w:t>
        </w:r>
      </w:hyperlink>
      <w:r>
        <w:t xml:space="preserve"> Carbon Audits </w:t>
      </w:r>
    </w:p>
  </w:footnote>
  <w:footnote w:id="7">
    <w:p w14:paraId="54E17E0F" w14:textId="77777777" w:rsidR="00FC279C" w:rsidRDefault="00FC279C" w:rsidP="00FC279C">
      <w:pPr>
        <w:pStyle w:val="FootnoteText"/>
        <w:ind w:left="0"/>
      </w:pPr>
      <w:r w:rsidRPr="00EF7364">
        <w:rPr>
          <w:rStyle w:val="FootnoteReference"/>
        </w:rPr>
        <w:footnoteRef/>
      </w:r>
      <w:r w:rsidRPr="00EF7364">
        <w:t xml:space="preserve"> </w:t>
      </w:r>
      <w:hyperlink r:id="rId6" w:history="1">
        <w:r w:rsidRPr="00EF7364">
          <w:rPr>
            <w:rStyle w:val="Hyperlink"/>
          </w:rPr>
          <w:t>Air pollution removal by urban trees and shrubs in the United States (2006),</w:t>
        </w:r>
      </w:hyperlink>
      <w:r w:rsidRPr="00EF7364">
        <w:t xml:space="preserve"> Nowak et al</w:t>
      </w:r>
    </w:p>
  </w:footnote>
  <w:footnote w:id="8">
    <w:p w14:paraId="69ADDD00" w14:textId="77777777" w:rsidR="00FC279C" w:rsidRPr="00EF7364" w:rsidRDefault="00FC279C" w:rsidP="00FC279C">
      <w:pPr>
        <w:pStyle w:val="FootnoteText"/>
        <w:ind w:left="0"/>
      </w:pPr>
      <w:r w:rsidRPr="00EF7364">
        <w:rPr>
          <w:rStyle w:val="FootnoteReference"/>
        </w:rPr>
        <w:footnoteRef/>
      </w:r>
      <w:r w:rsidRPr="00EF7364">
        <w:t xml:space="preserve"> </w:t>
      </w:r>
      <w:hyperlink r:id="rId7" w:history="1">
        <w:r w:rsidRPr="00EF7364">
          <w:rPr>
            <w:rStyle w:val="Hyperlink"/>
          </w:rPr>
          <w:t>Rethinking Residual Emissions of Local Authorities in England: Utilising Green Assets (2025),</w:t>
        </w:r>
      </w:hyperlink>
      <w:r w:rsidRPr="00EF7364">
        <w:t xml:space="preserve"> </w:t>
      </w:r>
      <w:proofErr w:type="spellStart"/>
      <w:r w:rsidRPr="00EF7364">
        <w:t>Kappuswamy</w:t>
      </w:r>
      <w:proofErr w:type="spellEnd"/>
      <w:r w:rsidRPr="00EF7364">
        <w:t xml:space="preserve"> et al</w:t>
      </w:r>
    </w:p>
  </w:footnote>
  <w:footnote w:id="9">
    <w:p w14:paraId="4E043F89" w14:textId="77777777" w:rsidR="00FC279C" w:rsidRDefault="00FC279C" w:rsidP="00FC279C">
      <w:pPr>
        <w:pStyle w:val="FootnoteText"/>
        <w:ind w:left="0"/>
      </w:pPr>
      <w:r>
        <w:rPr>
          <w:rStyle w:val="FootnoteReference"/>
        </w:rPr>
        <w:footnoteRef/>
      </w:r>
      <w:r>
        <w:t xml:space="preserve"> </w:t>
      </w:r>
      <w:hyperlink r:id="rId8" w:history="1">
        <w:r w:rsidRPr="00D233F5">
          <w:rPr>
            <w:rStyle w:val="Hyperlink"/>
          </w:rPr>
          <w:t xml:space="preserve">Land And Carbon Sequestration </w:t>
        </w:r>
        <w:proofErr w:type="gramStart"/>
        <w:r w:rsidRPr="00D233F5">
          <w:rPr>
            <w:rStyle w:val="Hyperlink"/>
          </w:rPr>
          <w:t>And</w:t>
        </w:r>
        <w:proofErr w:type="gramEnd"/>
        <w:r w:rsidRPr="00D233F5">
          <w:rPr>
            <w:rStyle w:val="Hyperlink"/>
          </w:rPr>
          <w:t xml:space="preserve"> Storage: A Guide </w:t>
        </w:r>
        <w:proofErr w:type="gramStart"/>
        <w:r w:rsidRPr="00D233F5">
          <w:rPr>
            <w:rStyle w:val="Hyperlink"/>
          </w:rPr>
          <w:t>For</w:t>
        </w:r>
        <w:proofErr w:type="gramEnd"/>
        <w:r w:rsidRPr="00D233F5">
          <w:rPr>
            <w:rStyle w:val="Hyperlink"/>
          </w:rPr>
          <w:t xml:space="preserve"> Welsh Local Authorities</w:t>
        </w:r>
      </w:hyperlink>
      <w:r>
        <w:t xml:space="preserve"> (2023) Netherwood et al</w:t>
      </w:r>
    </w:p>
  </w:footnote>
  <w:footnote w:id="10">
    <w:p w14:paraId="079E0E5C" w14:textId="08447997" w:rsidR="009D7727" w:rsidRDefault="009D7727" w:rsidP="009D7727">
      <w:pPr>
        <w:pStyle w:val="FootnoteText"/>
        <w:ind w:left="0"/>
      </w:pPr>
      <w:r>
        <w:rPr>
          <w:rStyle w:val="FootnoteReference"/>
        </w:rPr>
        <w:footnoteRef/>
      </w:r>
      <w:r>
        <w:t xml:space="preserve"> </w:t>
      </w:r>
      <w:hyperlink r:id="rId9" w:history="1">
        <w:r w:rsidRPr="00D233F5">
          <w:rPr>
            <w:rStyle w:val="Hyperlink"/>
          </w:rPr>
          <w:t xml:space="preserve">Land And Carbon Sequestration </w:t>
        </w:r>
        <w:proofErr w:type="gramStart"/>
        <w:r w:rsidRPr="00D233F5">
          <w:rPr>
            <w:rStyle w:val="Hyperlink"/>
          </w:rPr>
          <w:t>And</w:t>
        </w:r>
        <w:proofErr w:type="gramEnd"/>
        <w:r w:rsidRPr="00D233F5">
          <w:rPr>
            <w:rStyle w:val="Hyperlink"/>
          </w:rPr>
          <w:t xml:space="preserve"> Storage: A Guide </w:t>
        </w:r>
        <w:proofErr w:type="gramStart"/>
        <w:r w:rsidRPr="00D233F5">
          <w:rPr>
            <w:rStyle w:val="Hyperlink"/>
          </w:rPr>
          <w:t>For</w:t>
        </w:r>
        <w:proofErr w:type="gramEnd"/>
        <w:r w:rsidRPr="00D233F5">
          <w:rPr>
            <w:rStyle w:val="Hyperlink"/>
          </w:rPr>
          <w:t xml:space="preserve"> Welsh Local Authorities</w:t>
        </w:r>
      </w:hyperlink>
      <w:r>
        <w:t xml:space="preserve"> (2023) Netherwood et al</w:t>
      </w:r>
    </w:p>
  </w:footnote>
  <w:footnote w:id="11">
    <w:p w14:paraId="2F44B8D2" w14:textId="285526AD" w:rsidR="00862E54" w:rsidRDefault="00862E54" w:rsidP="00862E54">
      <w:pPr>
        <w:pStyle w:val="FootnoteText"/>
        <w:ind w:left="0"/>
      </w:pPr>
      <w:r>
        <w:rPr>
          <w:rStyle w:val="FootnoteReference"/>
        </w:rPr>
        <w:footnoteRef/>
      </w:r>
      <w:r>
        <w:t xml:space="preserve"> </w:t>
      </w:r>
      <w:hyperlink r:id="rId10" w:history="1">
        <w:r w:rsidRPr="00862E54">
          <w:rPr>
            <w:rStyle w:val="Hyperlink"/>
          </w:rPr>
          <w:t>UK GHG Inventory 1990 to 2025</w:t>
        </w:r>
      </w:hyperlink>
      <w:r>
        <w:t xml:space="preserve"> (GHGI)</w:t>
      </w:r>
    </w:p>
  </w:footnote>
  <w:footnote w:id="12">
    <w:p w14:paraId="36C26B94" w14:textId="04FDAFBC" w:rsidR="00862E54" w:rsidRDefault="00862E54" w:rsidP="00862E54">
      <w:pPr>
        <w:pStyle w:val="FootnoteText"/>
        <w:ind w:left="0"/>
      </w:pPr>
      <w:r>
        <w:rPr>
          <w:rStyle w:val="FootnoteReference"/>
        </w:rPr>
        <w:footnoteRef/>
      </w:r>
      <w:r>
        <w:t xml:space="preserve"> </w:t>
      </w:r>
      <w:hyperlink r:id="rId11" w:history="1">
        <w:r w:rsidRPr="00741B93">
          <w:rPr>
            <w:rStyle w:val="Hyperlink"/>
          </w:rPr>
          <w:t>Land Use, Land-Use Change and Forestry</w:t>
        </w:r>
      </w:hyperlink>
      <w:r>
        <w:t xml:space="preserve"> (LULUCF)</w:t>
      </w:r>
    </w:p>
  </w:footnote>
  <w:footnote w:id="13">
    <w:p w14:paraId="761A27DF" w14:textId="77777777" w:rsidR="009D7727" w:rsidRDefault="009D7727" w:rsidP="009D7727">
      <w:pPr>
        <w:pStyle w:val="FootnoteText"/>
        <w:ind w:left="0"/>
      </w:pPr>
      <w:r>
        <w:rPr>
          <w:rStyle w:val="FootnoteReference"/>
        </w:rPr>
        <w:footnoteRef/>
      </w:r>
      <w:r>
        <w:t xml:space="preserve"> </w:t>
      </w:r>
      <w:hyperlink r:id="rId12" w:history="1">
        <w:r w:rsidRPr="00741B93">
          <w:rPr>
            <w:rStyle w:val="Hyperlink"/>
          </w:rPr>
          <w:t>National Atmospheric Emissions Inventory</w:t>
        </w:r>
      </w:hyperlink>
      <w:r>
        <w:t xml:space="preserve"> (NAEI) </w:t>
      </w:r>
    </w:p>
  </w:footnote>
  <w:footnote w:id="14">
    <w:p w14:paraId="64789816" w14:textId="77777777" w:rsidR="009D7727" w:rsidRDefault="009D7727" w:rsidP="009D7727">
      <w:pPr>
        <w:pStyle w:val="FootnoteText"/>
        <w:ind w:left="0"/>
      </w:pPr>
      <w:r>
        <w:rPr>
          <w:rStyle w:val="FootnoteReference"/>
        </w:rPr>
        <w:footnoteRef/>
      </w:r>
      <w:r>
        <w:t xml:space="preserve"> </w:t>
      </w:r>
      <w:hyperlink r:id="rId13" w:history="1">
        <w:r w:rsidRPr="00741B93">
          <w:rPr>
            <w:rStyle w:val="Hyperlink"/>
          </w:rPr>
          <w:t>Land Use, Land-Use Change and Forestry</w:t>
        </w:r>
      </w:hyperlink>
      <w:r>
        <w:t xml:space="preserve"> (LULUCF) </w:t>
      </w:r>
    </w:p>
  </w:footnote>
  <w:footnote w:id="15">
    <w:p w14:paraId="1828BC8A" w14:textId="7A8C4864" w:rsidR="00862E54" w:rsidRDefault="00862E54">
      <w:pPr>
        <w:pStyle w:val="FootnoteText"/>
      </w:pPr>
      <w:r>
        <w:rPr>
          <w:rStyle w:val="FootnoteReference"/>
        </w:rPr>
        <w:footnoteRef/>
      </w:r>
      <w:r>
        <w:t xml:space="preserve"> </w:t>
      </w:r>
      <w:hyperlink r:id="rId14" w:history="1">
        <w:r w:rsidRPr="00862E54">
          <w:rPr>
            <w:rStyle w:val="Hyperlink"/>
          </w:rPr>
          <w:t>UK GHG Inventory 1990 to 2025</w:t>
        </w:r>
      </w:hyperlink>
      <w:r>
        <w:t xml:space="preserve"> (GHGI)</w:t>
      </w:r>
    </w:p>
  </w:footnote>
  <w:footnote w:id="16">
    <w:p w14:paraId="22158F51" w14:textId="7E088947" w:rsidR="00862E54" w:rsidRDefault="00862E54">
      <w:pPr>
        <w:pStyle w:val="FootnoteText"/>
      </w:pPr>
      <w:r>
        <w:rPr>
          <w:rStyle w:val="FootnoteReference"/>
        </w:rPr>
        <w:footnoteRef/>
      </w:r>
      <w:r>
        <w:t xml:space="preserve"> </w:t>
      </w:r>
      <w:hyperlink r:id="rId15" w:history="1">
        <w:r w:rsidRPr="00741B93">
          <w:rPr>
            <w:rStyle w:val="Hyperlink"/>
          </w:rPr>
          <w:t>Land Use, Land-Use Change and Forestry</w:t>
        </w:r>
      </w:hyperlink>
      <w:r>
        <w:t xml:space="preserve"> (LULUCF)</w:t>
      </w:r>
    </w:p>
  </w:footnote>
  <w:footnote w:id="17">
    <w:p w14:paraId="0FC9CB67" w14:textId="74378D53" w:rsidR="00862E54" w:rsidRDefault="00862E54">
      <w:pPr>
        <w:pStyle w:val="FootnoteText"/>
      </w:pPr>
      <w:r>
        <w:rPr>
          <w:rStyle w:val="FootnoteReference"/>
        </w:rPr>
        <w:footnoteRef/>
      </w:r>
      <w:r>
        <w:t xml:space="preserve"> </w:t>
      </w:r>
      <w:hyperlink r:id="rId16" w:history="1">
        <w:r w:rsidRPr="00741B93">
          <w:rPr>
            <w:rStyle w:val="Hyperlink"/>
          </w:rPr>
          <w:t>Land Use, Land-Use Change and Forestry</w:t>
        </w:r>
      </w:hyperlink>
      <w:r>
        <w:t xml:space="preserve"> (LULUCF)</w:t>
      </w:r>
    </w:p>
  </w:footnote>
  <w:footnote w:id="18">
    <w:p w14:paraId="07239E58" w14:textId="68DD9523" w:rsidR="00862E54" w:rsidRDefault="00862E54">
      <w:pPr>
        <w:pStyle w:val="FootnoteText"/>
      </w:pPr>
      <w:r>
        <w:rPr>
          <w:rStyle w:val="FootnoteReference"/>
        </w:rPr>
        <w:footnoteRef/>
      </w:r>
      <w:r>
        <w:t xml:space="preserve"> </w:t>
      </w:r>
      <w:hyperlink r:id="rId17" w:history="1">
        <w:r w:rsidRPr="00741B93">
          <w:rPr>
            <w:rStyle w:val="Hyperlink"/>
          </w:rPr>
          <w:t>National Atmospheric Emissions Inventory</w:t>
        </w:r>
      </w:hyperlink>
      <w:r>
        <w:t xml:space="preserve"> (NAEI)</w:t>
      </w:r>
    </w:p>
  </w:footnote>
  <w:footnote w:id="19">
    <w:p w14:paraId="20E4A70B" w14:textId="35839935" w:rsidR="00862E54" w:rsidRDefault="00862E54">
      <w:pPr>
        <w:pStyle w:val="FootnoteText"/>
      </w:pPr>
      <w:r>
        <w:rPr>
          <w:rStyle w:val="FootnoteReference"/>
        </w:rPr>
        <w:footnoteRef/>
      </w:r>
      <w:r>
        <w:t xml:space="preserve"> </w:t>
      </w:r>
      <w:hyperlink r:id="rId18" w:history="1">
        <w:r w:rsidRPr="00741B93">
          <w:rPr>
            <w:rStyle w:val="Hyperlink"/>
          </w:rPr>
          <w:t>Land Use, Land-Use Change and Forestry</w:t>
        </w:r>
      </w:hyperlink>
      <w:r>
        <w:t xml:space="preserve"> (LULUCF)</w:t>
      </w:r>
    </w:p>
  </w:footnote>
  <w:footnote w:id="20">
    <w:p w14:paraId="72A137DE" w14:textId="77777777" w:rsidR="00761E69" w:rsidRDefault="00761E69" w:rsidP="00761E69">
      <w:pPr>
        <w:pStyle w:val="FootnoteText"/>
        <w:ind w:left="0"/>
      </w:pPr>
      <w:r>
        <w:rPr>
          <w:rStyle w:val="FootnoteReference"/>
        </w:rPr>
        <w:footnoteRef/>
      </w:r>
      <w:r>
        <w:t xml:space="preserve"> </w:t>
      </w:r>
      <w:hyperlink r:id="rId19" w:history="1">
        <w:r w:rsidRPr="004E21C5">
          <w:rPr>
            <w:rStyle w:val="Hyperlink"/>
            <w:lang w:val="en-US"/>
          </w:rPr>
          <w:t>Carbon offsetting and removal: a glossary of terms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4E55" w14:textId="4F123BC6" w:rsidR="008C79AB" w:rsidRPr="008C79AB" w:rsidRDefault="008C79AB">
    <w:pPr>
      <w:pStyle w:val="Header"/>
      <w:rPr>
        <w:sz w:val="20"/>
        <w:szCs w:val="18"/>
      </w:rPr>
    </w:pPr>
    <w:r w:rsidRPr="008C79AB">
      <w:rPr>
        <w:sz w:val="20"/>
        <w:szCs w:val="18"/>
      </w:rPr>
      <w:t>Hertfordshire Climate Change &amp; Sustainability Partnership</w:t>
    </w:r>
  </w:p>
  <w:p w14:paraId="718FCF66" w14:textId="655C3E10" w:rsidR="008C79AB" w:rsidRPr="008C79AB" w:rsidRDefault="00746268">
    <w:pPr>
      <w:pStyle w:val="Header"/>
      <w:rPr>
        <w:sz w:val="20"/>
        <w:szCs w:val="18"/>
      </w:rPr>
    </w:pPr>
    <w:r>
      <w:rPr>
        <w:sz w:val="20"/>
        <w:szCs w:val="18"/>
      </w:rPr>
      <w:t>Green Asset Sequestration Standards</w:t>
    </w:r>
  </w:p>
  <w:p w14:paraId="00E37BA4" w14:textId="71AF3B0A" w:rsidR="008C79AB" w:rsidRPr="008C79AB" w:rsidRDefault="0037213B">
    <w:pPr>
      <w:pStyle w:val="Header"/>
      <w:rPr>
        <w:sz w:val="20"/>
        <w:szCs w:val="18"/>
      </w:rPr>
    </w:pPr>
    <w:r>
      <w:rPr>
        <w:sz w:val="20"/>
        <w:szCs w:val="18"/>
      </w:rPr>
      <w:t>July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47BD" w14:textId="77777777" w:rsidR="008C79AB" w:rsidRPr="008C79AB" w:rsidRDefault="008C79AB" w:rsidP="008C79AB">
    <w:pPr>
      <w:pStyle w:val="Header"/>
      <w:rPr>
        <w:sz w:val="20"/>
        <w:szCs w:val="18"/>
      </w:rPr>
    </w:pPr>
    <w:r w:rsidRPr="008C79AB">
      <w:rPr>
        <w:noProof/>
        <w:sz w:val="20"/>
        <w:szCs w:val="18"/>
      </w:rPr>
      <w:drawing>
        <wp:anchor distT="0" distB="0" distL="114300" distR="114300" simplePos="0" relativeHeight="251657216" behindDoc="0" locked="0" layoutInCell="1" allowOverlap="1" wp14:anchorId="005B0845" wp14:editId="3E38F06E">
          <wp:simplePos x="0" y="0"/>
          <wp:positionH relativeFrom="margin">
            <wp:posOffset>4918710</wp:posOffset>
          </wp:positionH>
          <wp:positionV relativeFrom="margin">
            <wp:posOffset>-786130</wp:posOffset>
          </wp:positionV>
          <wp:extent cx="1473835" cy="574675"/>
          <wp:effectExtent l="0" t="0" r="0" b="0"/>
          <wp:wrapSquare wrapText="bothSides"/>
          <wp:docPr id="574356839" name="Picture 1" descr="A green outline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51526" name="Picture 1" descr="A green outline of a map&#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73835" cy="574675"/>
                  </a:xfrm>
                  <a:prstGeom prst="rect">
                    <a:avLst/>
                  </a:prstGeom>
                </pic:spPr>
              </pic:pic>
            </a:graphicData>
          </a:graphic>
          <wp14:sizeRelH relativeFrom="margin">
            <wp14:pctWidth>0</wp14:pctWidth>
          </wp14:sizeRelH>
          <wp14:sizeRelV relativeFrom="margin">
            <wp14:pctHeight>0</wp14:pctHeight>
          </wp14:sizeRelV>
        </wp:anchor>
      </w:drawing>
    </w:r>
    <w:r w:rsidRPr="008C79AB">
      <w:rPr>
        <w:sz w:val="20"/>
        <w:szCs w:val="18"/>
      </w:rPr>
      <w:t>Hertfordshire Climate Change &amp; Sustainability Partnership</w:t>
    </w:r>
  </w:p>
  <w:p w14:paraId="1A151DDD" w14:textId="1FA647A7" w:rsidR="008C79AB" w:rsidRPr="008C79AB" w:rsidRDefault="00746268" w:rsidP="008C79AB">
    <w:pPr>
      <w:pStyle w:val="Header"/>
      <w:rPr>
        <w:sz w:val="20"/>
        <w:szCs w:val="18"/>
      </w:rPr>
    </w:pPr>
    <w:r>
      <w:rPr>
        <w:sz w:val="20"/>
        <w:szCs w:val="18"/>
      </w:rPr>
      <w:t>Green Asset Sequestration</w:t>
    </w:r>
    <w:r w:rsidR="008C79AB" w:rsidRPr="008C79AB">
      <w:rPr>
        <w:sz w:val="20"/>
        <w:szCs w:val="18"/>
      </w:rPr>
      <w:t xml:space="preserve"> Standards</w:t>
    </w:r>
  </w:p>
  <w:p w14:paraId="37277908" w14:textId="7744C9DC" w:rsidR="008C79AB" w:rsidRPr="008C79AB" w:rsidRDefault="00BE026D" w:rsidP="008C79AB">
    <w:pPr>
      <w:pStyle w:val="Header"/>
      <w:rPr>
        <w:sz w:val="20"/>
        <w:szCs w:val="18"/>
      </w:rPr>
    </w:pPr>
    <w:r>
      <w:rPr>
        <w:sz w:val="20"/>
        <w:szCs w:val="18"/>
      </w:rPr>
      <w:t>January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0AF2"/>
    <w:multiLevelType w:val="hybridMultilevel"/>
    <w:tmpl w:val="3D822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F25079"/>
    <w:multiLevelType w:val="multilevel"/>
    <w:tmpl w:val="CF405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C14B5"/>
    <w:multiLevelType w:val="hybridMultilevel"/>
    <w:tmpl w:val="4574C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1223A"/>
    <w:multiLevelType w:val="hybridMultilevel"/>
    <w:tmpl w:val="A8D0C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F1389"/>
    <w:multiLevelType w:val="hybridMultilevel"/>
    <w:tmpl w:val="555070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F57D03"/>
    <w:multiLevelType w:val="multilevel"/>
    <w:tmpl w:val="629C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385D70"/>
    <w:multiLevelType w:val="multilevel"/>
    <w:tmpl w:val="A98A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532B84"/>
    <w:multiLevelType w:val="hybridMultilevel"/>
    <w:tmpl w:val="30E63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2F2BDB"/>
    <w:multiLevelType w:val="hybridMultilevel"/>
    <w:tmpl w:val="3F7CF8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306625"/>
    <w:multiLevelType w:val="hybridMultilevel"/>
    <w:tmpl w:val="E09A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3B512B"/>
    <w:multiLevelType w:val="multilevel"/>
    <w:tmpl w:val="6C10180C"/>
    <w:styleLink w:val="Style2"/>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29115D"/>
    <w:multiLevelType w:val="multilevel"/>
    <w:tmpl w:val="9FA4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6379C9"/>
    <w:multiLevelType w:val="multilevel"/>
    <w:tmpl w:val="8C44B490"/>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1000"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3A67508"/>
    <w:multiLevelType w:val="multilevel"/>
    <w:tmpl w:val="1946F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B30203"/>
    <w:multiLevelType w:val="hybridMultilevel"/>
    <w:tmpl w:val="D8D87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DA4747"/>
    <w:multiLevelType w:val="hybridMultilevel"/>
    <w:tmpl w:val="46964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A20165"/>
    <w:multiLevelType w:val="multilevel"/>
    <w:tmpl w:val="741E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D1487F"/>
    <w:multiLevelType w:val="hybridMultilevel"/>
    <w:tmpl w:val="D4DC7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2940B7"/>
    <w:multiLevelType w:val="hybridMultilevel"/>
    <w:tmpl w:val="C2F01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9450BA"/>
    <w:multiLevelType w:val="multilevel"/>
    <w:tmpl w:val="587E7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E4594E"/>
    <w:multiLevelType w:val="hybridMultilevel"/>
    <w:tmpl w:val="3D2405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6459C8"/>
    <w:multiLevelType w:val="hybridMultilevel"/>
    <w:tmpl w:val="2F067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8A0B38"/>
    <w:multiLevelType w:val="multilevel"/>
    <w:tmpl w:val="0F74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1624EB"/>
    <w:multiLevelType w:val="multilevel"/>
    <w:tmpl w:val="25FE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909974">
    <w:abstractNumId w:val="12"/>
  </w:num>
  <w:num w:numId="2" w16cid:durableId="580287404">
    <w:abstractNumId w:val="10"/>
  </w:num>
  <w:num w:numId="3" w16cid:durableId="1518621214">
    <w:abstractNumId w:val="0"/>
  </w:num>
  <w:num w:numId="4" w16cid:durableId="1224021367">
    <w:abstractNumId w:val="8"/>
  </w:num>
  <w:num w:numId="5" w16cid:durableId="348921247">
    <w:abstractNumId w:val="4"/>
  </w:num>
  <w:num w:numId="6" w16cid:durableId="1590843877">
    <w:abstractNumId w:val="20"/>
  </w:num>
  <w:num w:numId="7" w16cid:durableId="2084789276">
    <w:abstractNumId w:val="13"/>
  </w:num>
  <w:num w:numId="8" w16cid:durableId="992104966">
    <w:abstractNumId w:val="23"/>
  </w:num>
  <w:num w:numId="9" w16cid:durableId="963578974">
    <w:abstractNumId w:val="19"/>
  </w:num>
  <w:num w:numId="10" w16cid:durableId="968632384">
    <w:abstractNumId w:val="22"/>
  </w:num>
  <w:num w:numId="11" w16cid:durableId="520365218">
    <w:abstractNumId w:val="16"/>
  </w:num>
  <w:num w:numId="12" w16cid:durableId="1880774144">
    <w:abstractNumId w:val="6"/>
  </w:num>
  <w:num w:numId="13" w16cid:durableId="1333609107">
    <w:abstractNumId w:val="5"/>
  </w:num>
  <w:num w:numId="14" w16cid:durableId="1872721606">
    <w:abstractNumId w:val="1"/>
  </w:num>
  <w:num w:numId="15" w16cid:durableId="2108040689">
    <w:abstractNumId w:val="11"/>
  </w:num>
  <w:num w:numId="16" w16cid:durableId="532887827">
    <w:abstractNumId w:val="18"/>
  </w:num>
  <w:num w:numId="17" w16cid:durableId="878128205">
    <w:abstractNumId w:val="15"/>
  </w:num>
  <w:num w:numId="18" w16cid:durableId="1243564934">
    <w:abstractNumId w:val="2"/>
  </w:num>
  <w:num w:numId="19" w16cid:durableId="808595623">
    <w:abstractNumId w:val="9"/>
  </w:num>
  <w:num w:numId="20" w16cid:durableId="299580839">
    <w:abstractNumId w:val="21"/>
  </w:num>
  <w:num w:numId="21" w16cid:durableId="2111586853">
    <w:abstractNumId w:val="14"/>
  </w:num>
  <w:num w:numId="22" w16cid:durableId="830564923">
    <w:abstractNumId w:val="7"/>
  </w:num>
  <w:num w:numId="23" w16cid:durableId="512306537">
    <w:abstractNumId w:val="17"/>
  </w:num>
  <w:num w:numId="24" w16cid:durableId="181239302">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D8F"/>
    <w:rsid w:val="00004EB7"/>
    <w:rsid w:val="000060E8"/>
    <w:rsid w:val="0000662A"/>
    <w:rsid w:val="00006D3A"/>
    <w:rsid w:val="00010C22"/>
    <w:rsid w:val="000119FD"/>
    <w:rsid w:val="0001217B"/>
    <w:rsid w:val="000154AC"/>
    <w:rsid w:val="00016FEA"/>
    <w:rsid w:val="00020EAA"/>
    <w:rsid w:val="00022EAE"/>
    <w:rsid w:val="0002390B"/>
    <w:rsid w:val="0002517D"/>
    <w:rsid w:val="000277EE"/>
    <w:rsid w:val="000303E7"/>
    <w:rsid w:val="000305D4"/>
    <w:rsid w:val="000307C5"/>
    <w:rsid w:val="00030AE9"/>
    <w:rsid w:val="000312DB"/>
    <w:rsid w:val="000313BC"/>
    <w:rsid w:val="00031DC1"/>
    <w:rsid w:val="00033A43"/>
    <w:rsid w:val="000344FD"/>
    <w:rsid w:val="00036770"/>
    <w:rsid w:val="0004001D"/>
    <w:rsid w:val="0004126E"/>
    <w:rsid w:val="00044875"/>
    <w:rsid w:val="000477E5"/>
    <w:rsid w:val="00050903"/>
    <w:rsid w:val="0005148E"/>
    <w:rsid w:val="0005205B"/>
    <w:rsid w:val="00052673"/>
    <w:rsid w:val="00053766"/>
    <w:rsid w:val="00055074"/>
    <w:rsid w:val="00055537"/>
    <w:rsid w:val="00056085"/>
    <w:rsid w:val="00056511"/>
    <w:rsid w:val="0005660A"/>
    <w:rsid w:val="00061102"/>
    <w:rsid w:val="00062C01"/>
    <w:rsid w:val="00066601"/>
    <w:rsid w:val="00066781"/>
    <w:rsid w:val="00066CF8"/>
    <w:rsid w:val="00070092"/>
    <w:rsid w:val="00070B81"/>
    <w:rsid w:val="00070E4D"/>
    <w:rsid w:val="00071705"/>
    <w:rsid w:val="000721BE"/>
    <w:rsid w:val="000723B9"/>
    <w:rsid w:val="0007473F"/>
    <w:rsid w:val="00080653"/>
    <w:rsid w:val="00084191"/>
    <w:rsid w:val="00084D4A"/>
    <w:rsid w:val="00084F0C"/>
    <w:rsid w:val="00086117"/>
    <w:rsid w:val="0008634F"/>
    <w:rsid w:val="000863FB"/>
    <w:rsid w:val="00087ECD"/>
    <w:rsid w:val="00090490"/>
    <w:rsid w:val="00090B53"/>
    <w:rsid w:val="00090DEF"/>
    <w:rsid w:val="000927E2"/>
    <w:rsid w:val="000936DA"/>
    <w:rsid w:val="00093D7F"/>
    <w:rsid w:val="00094CD9"/>
    <w:rsid w:val="00094E1C"/>
    <w:rsid w:val="0009500C"/>
    <w:rsid w:val="000966DA"/>
    <w:rsid w:val="000976CC"/>
    <w:rsid w:val="000A03A9"/>
    <w:rsid w:val="000A0BEE"/>
    <w:rsid w:val="000A1168"/>
    <w:rsid w:val="000A1ACF"/>
    <w:rsid w:val="000A2271"/>
    <w:rsid w:val="000A27F4"/>
    <w:rsid w:val="000A5E55"/>
    <w:rsid w:val="000A64AD"/>
    <w:rsid w:val="000A6903"/>
    <w:rsid w:val="000A7703"/>
    <w:rsid w:val="000A7C61"/>
    <w:rsid w:val="000B0A7A"/>
    <w:rsid w:val="000B2D94"/>
    <w:rsid w:val="000B31FB"/>
    <w:rsid w:val="000C01D5"/>
    <w:rsid w:val="000C0B85"/>
    <w:rsid w:val="000C430A"/>
    <w:rsid w:val="000C55A9"/>
    <w:rsid w:val="000C5AE9"/>
    <w:rsid w:val="000C73D0"/>
    <w:rsid w:val="000C77BE"/>
    <w:rsid w:val="000C7B71"/>
    <w:rsid w:val="000D0535"/>
    <w:rsid w:val="000D1928"/>
    <w:rsid w:val="000D3D07"/>
    <w:rsid w:val="000D4353"/>
    <w:rsid w:val="000D44C5"/>
    <w:rsid w:val="000D4B77"/>
    <w:rsid w:val="000D6552"/>
    <w:rsid w:val="000D7770"/>
    <w:rsid w:val="000E2499"/>
    <w:rsid w:val="000E28BB"/>
    <w:rsid w:val="000E2FF7"/>
    <w:rsid w:val="000E30DD"/>
    <w:rsid w:val="000E3722"/>
    <w:rsid w:val="000E50CD"/>
    <w:rsid w:val="000E5E4B"/>
    <w:rsid w:val="000E6ADB"/>
    <w:rsid w:val="000F0323"/>
    <w:rsid w:val="000F4731"/>
    <w:rsid w:val="000F5C30"/>
    <w:rsid w:val="000F66A3"/>
    <w:rsid w:val="00101539"/>
    <w:rsid w:val="00101789"/>
    <w:rsid w:val="00103B38"/>
    <w:rsid w:val="001046F4"/>
    <w:rsid w:val="0011031E"/>
    <w:rsid w:val="001109A6"/>
    <w:rsid w:val="00111F86"/>
    <w:rsid w:val="00114389"/>
    <w:rsid w:val="00114934"/>
    <w:rsid w:val="00114CCE"/>
    <w:rsid w:val="001155F2"/>
    <w:rsid w:val="00116766"/>
    <w:rsid w:val="00116C60"/>
    <w:rsid w:val="001179D1"/>
    <w:rsid w:val="00121DF4"/>
    <w:rsid w:val="00122FE6"/>
    <w:rsid w:val="00123ADD"/>
    <w:rsid w:val="0012680C"/>
    <w:rsid w:val="001306DC"/>
    <w:rsid w:val="001322FA"/>
    <w:rsid w:val="00132335"/>
    <w:rsid w:val="00133D8D"/>
    <w:rsid w:val="00135E17"/>
    <w:rsid w:val="001369B8"/>
    <w:rsid w:val="00136C08"/>
    <w:rsid w:val="00136DAA"/>
    <w:rsid w:val="0013724A"/>
    <w:rsid w:val="00137BDB"/>
    <w:rsid w:val="00140999"/>
    <w:rsid w:val="00140AD0"/>
    <w:rsid w:val="00141AB4"/>
    <w:rsid w:val="00141F1D"/>
    <w:rsid w:val="00143D12"/>
    <w:rsid w:val="0014512E"/>
    <w:rsid w:val="00146141"/>
    <w:rsid w:val="00146FB6"/>
    <w:rsid w:val="001473A0"/>
    <w:rsid w:val="001473A4"/>
    <w:rsid w:val="00150248"/>
    <w:rsid w:val="001520C6"/>
    <w:rsid w:val="001536F8"/>
    <w:rsid w:val="00154373"/>
    <w:rsid w:val="001544EB"/>
    <w:rsid w:val="00156B5F"/>
    <w:rsid w:val="00161C3A"/>
    <w:rsid w:val="001622C5"/>
    <w:rsid w:val="00162AF2"/>
    <w:rsid w:val="00164B3D"/>
    <w:rsid w:val="0016580F"/>
    <w:rsid w:val="00166416"/>
    <w:rsid w:val="001705DB"/>
    <w:rsid w:val="0017312F"/>
    <w:rsid w:val="0017321F"/>
    <w:rsid w:val="001742D3"/>
    <w:rsid w:val="00174FD7"/>
    <w:rsid w:val="00175A4A"/>
    <w:rsid w:val="00175E3D"/>
    <w:rsid w:val="00175FF6"/>
    <w:rsid w:val="0017609F"/>
    <w:rsid w:val="0018091F"/>
    <w:rsid w:val="00180F33"/>
    <w:rsid w:val="00183B89"/>
    <w:rsid w:val="00184637"/>
    <w:rsid w:val="00186746"/>
    <w:rsid w:val="00190C39"/>
    <w:rsid w:val="00190C81"/>
    <w:rsid w:val="00190DE0"/>
    <w:rsid w:val="001915A0"/>
    <w:rsid w:val="00191B37"/>
    <w:rsid w:val="00192193"/>
    <w:rsid w:val="001933F5"/>
    <w:rsid w:val="00194944"/>
    <w:rsid w:val="00194EF8"/>
    <w:rsid w:val="001A618A"/>
    <w:rsid w:val="001B0459"/>
    <w:rsid w:val="001B17F0"/>
    <w:rsid w:val="001B1911"/>
    <w:rsid w:val="001B2874"/>
    <w:rsid w:val="001B2D25"/>
    <w:rsid w:val="001B3B62"/>
    <w:rsid w:val="001B5494"/>
    <w:rsid w:val="001B5962"/>
    <w:rsid w:val="001B5B6E"/>
    <w:rsid w:val="001B772D"/>
    <w:rsid w:val="001C5710"/>
    <w:rsid w:val="001C620A"/>
    <w:rsid w:val="001C6228"/>
    <w:rsid w:val="001C65F1"/>
    <w:rsid w:val="001D0636"/>
    <w:rsid w:val="001D19C4"/>
    <w:rsid w:val="001D1D73"/>
    <w:rsid w:val="001D1FC5"/>
    <w:rsid w:val="001D20A1"/>
    <w:rsid w:val="001D7770"/>
    <w:rsid w:val="001D787D"/>
    <w:rsid w:val="001E086B"/>
    <w:rsid w:val="001E1DF3"/>
    <w:rsid w:val="001E4A6E"/>
    <w:rsid w:val="001E5DE5"/>
    <w:rsid w:val="001E7890"/>
    <w:rsid w:val="001E7BCE"/>
    <w:rsid w:val="001F26FE"/>
    <w:rsid w:val="001F4A36"/>
    <w:rsid w:val="001F4B58"/>
    <w:rsid w:val="001F5C5F"/>
    <w:rsid w:val="001F6E62"/>
    <w:rsid w:val="001F73F0"/>
    <w:rsid w:val="001F7D51"/>
    <w:rsid w:val="00200050"/>
    <w:rsid w:val="002006E0"/>
    <w:rsid w:val="00201734"/>
    <w:rsid w:val="00203E35"/>
    <w:rsid w:val="00206677"/>
    <w:rsid w:val="00207F4B"/>
    <w:rsid w:val="00210865"/>
    <w:rsid w:val="00210FBE"/>
    <w:rsid w:val="00211CC9"/>
    <w:rsid w:val="0021259E"/>
    <w:rsid w:val="00212AA0"/>
    <w:rsid w:val="00213338"/>
    <w:rsid w:val="00215500"/>
    <w:rsid w:val="002162E8"/>
    <w:rsid w:val="002177DD"/>
    <w:rsid w:val="00220015"/>
    <w:rsid w:val="00220103"/>
    <w:rsid w:val="00220852"/>
    <w:rsid w:val="00225589"/>
    <w:rsid w:val="00226115"/>
    <w:rsid w:val="00227FFB"/>
    <w:rsid w:val="00231E2F"/>
    <w:rsid w:val="0023243D"/>
    <w:rsid w:val="002348A6"/>
    <w:rsid w:val="00235445"/>
    <w:rsid w:val="00235449"/>
    <w:rsid w:val="00235974"/>
    <w:rsid w:val="0023722E"/>
    <w:rsid w:val="00237E79"/>
    <w:rsid w:val="0024488A"/>
    <w:rsid w:val="00245298"/>
    <w:rsid w:val="00246966"/>
    <w:rsid w:val="00246D75"/>
    <w:rsid w:val="00247B42"/>
    <w:rsid w:val="0025276E"/>
    <w:rsid w:val="002576FF"/>
    <w:rsid w:val="0025797D"/>
    <w:rsid w:val="002579EB"/>
    <w:rsid w:val="00260A41"/>
    <w:rsid w:val="002615E4"/>
    <w:rsid w:val="00261C2A"/>
    <w:rsid w:val="0026298F"/>
    <w:rsid w:val="00263517"/>
    <w:rsid w:val="002636A0"/>
    <w:rsid w:val="00263EC0"/>
    <w:rsid w:val="00264B5C"/>
    <w:rsid w:val="002670BA"/>
    <w:rsid w:val="00270651"/>
    <w:rsid w:val="00270A27"/>
    <w:rsid w:val="00271F43"/>
    <w:rsid w:val="00273D79"/>
    <w:rsid w:val="0027449E"/>
    <w:rsid w:val="00274F43"/>
    <w:rsid w:val="00275581"/>
    <w:rsid w:val="00275766"/>
    <w:rsid w:val="00276F65"/>
    <w:rsid w:val="00277D15"/>
    <w:rsid w:val="00277F38"/>
    <w:rsid w:val="00277FE8"/>
    <w:rsid w:val="0028000F"/>
    <w:rsid w:val="00282147"/>
    <w:rsid w:val="0028492D"/>
    <w:rsid w:val="00284999"/>
    <w:rsid w:val="00285119"/>
    <w:rsid w:val="00285B43"/>
    <w:rsid w:val="00285E55"/>
    <w:rsid w:val="002903AC"/>
    <w:rsid w:val="00295BD6"/>
    <w:rsid w:val="00297ABE"/>
    <w:rsid w:val="002A29D2"/>
    <w:rsid w:val="002A31C8"/>
    <w:rsid w:val="002A4053"/>
    <w:rsid w:val="002A56BF"/>
    <w:rsid w:val="002A6753"/>
    <w:rsid w:val="002A6891"/>
    <w:rsid w:val="002B06D3"/>
    <w:rsid w:val="002B0AA3"/>
    <w:rsid w:val="002B0DA1"/>
    <w:rsid w:val="002B0EF0"/>
    <w:rsid w:val="002B10E6"/>
    <w:rsid w:val="002B23AF"/>
    <w:rsid w:val="002B342F"/>
    <w:rsid w:val="002B4112"/>
    <w:rsid w:val="002B4CCA"/>
    <w:rsid w:val="002B563E"/>
    <w:rsid w:val="002B7AAF"/>
    <w:rsid w:val="002C1843"/>
    <w:rsid w:val="002C1D3C"/>
    <w:rsid w:val="002C2FEE"/>
    <w:rsid w:val="002C40A1"/>
    <w:rsid w:val="002C67B4"/>
    <w:rsid w:val="002C7526"/>
    <w:rsid w:val="002D27BF"/>
    <w:rsid w:val="002D32A3"/>
    <w:rsid w:val="002D7924"/>
    <w:rsid w:val="002E1C5D"/>
    <w:rsid w:val="002E35E1"/>
    <w:rsid w:val="002E42DB"/>
    <w:rsid w:val="002E4E88"/>
    <w:rsid w:val="002E52B4"/>
    <w:rsid w:val="002E5B30"/>
    <w:rsid w:val="002E668B"/>
    <w:rsid w:val="002F082B"/>
    <w:rsid w:val="002F1213"/>
    <w:rsid w:val="002F1249"/>
    <w:rsid w:val="002F1EF0"/>
    <w:rsid w:val="002F2A37"/>
    <w:rsid w:val="002F3C09"/>
    <w:rsid w:val="002F55A7"/>
    <w:rsid w:val="002F62DD"/>
    <w:rsid w:val="002F690F"/>
    <w:rsid w:val="002F6D01"/>
    <w:rsid w:val="002F7344"/>
    <w:rsid w:val="002F7E55"/>
    <w:rsid w:val="003007F2"/>
    <w:rsid w:val="00300FF6"/>
    <w:rsid w:val="00301449"/>
    <w:rsid w:val="003036B1"/>
    <w:rsid w:val="00304609"/>
    <w:rsid w:val="00304D4F"/>
    <w:rsid w:val="0031155A"/>
    <w:rsid w:val="003116B6"/>
    <w:rsid w:val="00311D57"/>
    <w:rsid w:val="00311D60"/>
    <w:rsid w:val="00312B19"/>
    <w:rsid w:val="0031425F"/>
    <w:rsid w:val="003149CC"/>
    <w:rsid w:val="00315CF9"/>
    <w:rsid w:val="00315EE0"/>
    <w:rsid w:val="00317D04"/>
    <w:rsid w:val="0032168E"/>
    <w:rsid w:val="00324417"/>
    <w:rsid w:val="003261C6"/>
    <w:rsid w:val="00327466"/>
    <w:rsid w:val="00330602"/>
    <w:rsid w:val="00331601"/>
    <w:rsid w:val="0033218C"/>
    <w:rsid w:val="00333081"/>
    <w:rsid w:val="0033359E"/>
    <w:rsid w:val="00334B61"/>
    <w:rsid w:val="00335C8A"/>
    <w:rsid w:val="00335FA6"/>
    <w:rsid w:val="00336367"/>
    <w:rsid w:val="00336F71"/>
    <w:rsid w:val="00340349"/>
    <w:rsid w:val="003407FE"/>
    <w:rsid w:val="0034171D"/>
    <w:rsid w:val="00341B1C"/>
    <w:rsid w:val="003420C1"/>
    <w:rsid w:val="00343B22"/>
    <w:rsid w:val="0034438C"/>
    <w:rsid w:val="00344849"/>
    <w:rsid w:val="00345984"/>
    <w:rsid w:val="00345A61"/>
    <w:rsid w:val="00345AF2"/>
    <w:rsid w:val="0035129C"/>
    <w:rsid w:val="00353AE4"/>
    <w:rsid w:val="00353BC7"/>
    <w:rsid w:val="00353CAD"/>
    <w:rsid w:val="00355786"/>
    <w:rsid w:val="00357742"/>
    <w:rsid w:val="00361ADC"/>
    <w:rsid w:val="00362BF1"/>
    <w:rsid w:val="003638D4"/>
    <w:rsid w:val="0036426B"/>
    <w:rsid w:val="003645D6"/>
    <w:rsid w:val="00364A30"/>
    <w:rsid w:val="00365423"/>
    <w:rsid w:val="003657BA"/>
    <w:rsid w:val="00365D21"/>
    <w:rsid w:val="00365D77"/>
    <w:rsid w:val="00365F35"/>
    <w:rsid w:val="00366AC4"/>
    <w:rsid w:val="003677CB"/>
    <w:rsid w:val="00370C43"/>
    <w:rsid w:val="00371A8E"/>
    <w:rsid w:val="0037213B"/>
    <w:rsid w:val="0037345C"/>
    <w:rsid w:val="00373EC4"/>
    <w:rsid w:val="00375C32"/>
    <w:rsid w:val="00375E59"/>
    <w:rsid w:val="00376A13"/>
    <w:rsid w:val="003779E5"/>
    <w:rsid w:val="00377DE2"/>
    <w:rsid w:val="0038120B"/>
    <w:rsid w:val="00383E30"/>
    <w:rsid w:val="003859BF"/>
    <w:rsid w:val="00386AEB"/>
    <w:rsid w:val="0039058D"/>
    <w:rsid w:val="0039154F"/>
    <w:rsid w:val="00391D92"/>
    <w:rsid w:val="003927B1"/>
    <w:rsid w:val="0039426E"/>
    <w:rsid w:val="00394993"/>
    <w:rsid w:val="00394D3C"/>
    <w:rsid w:val="00395A6E"/>
    <w:rsid w:val="00397DB0"/>
    <w:rsid w:val="003A41D9"/>
    <w:rsid w:val="003A4537"/>
    <w:rsid w:val="003A5784"/>
    <w:rsid w:val="003B0174"/>
    <w:rsid w:val="003B2261"/>
    <w:rsid w:val="003B3255"/>
    <w:rsid w:val="003B47D6"/>
    <w:rsid w:val="003B502D"/>
    <w:rsid w:val="003B5547"/>
    <w:rsid w:val="003B55C8"/>
    <w:rsid w:val="003B5CAA"/>
    <w:rsid w:val="003B5E63"/>
    <w:rsid w:val="003B6DCC"/>
    <w:rsid w:val="003C02F5"/>
    <w:rsid w:val="003C2A01"/>
    <w:rsid w:val="003C362D"/>
    <w:rsid w:val="003C414F"/>
    <w:rsid w:val="003C4B46"/>
    <w:rsid w:val="003C5972"/>
    <w:rsid w:val="003C5F77"/>
    <w:rsid w:val="003C7BA0"/>
    <w:rsid w:val="003C7CB6"/>
    <w:rsid w:val="003D1BC0"/>
    <w:rsid w:val="003D3358"/>
    <w:rsid w:val="003D45DC"/>
    <w:rsid w:val="003D7039"/>
    <w:rsid w:val="003D769C"/>
    <w:rsid w:val="003E188E"/>
    <w:rsid w:val="003E1ED4"/>
    <w:rsid w:val="003E2AB1"/>
    <w:rsid w:val="003E2FE0"/>
    <w:rsid w:val="003E2FFD"/>
    <w:rsid w:val="003E3054"/>
    <w:rsid w:val="003E3F73"/>
    <w:rsid w:val="003E47C5"/>
    <w:rsid w:val="003E5979"/>
    <w:rsid w:val="003E6260"/>
    <w:rsid w:val="003E71AE"/>
    <w:rsid w:val="003E71C3"/>
    <w:rsid w:val="003E7356"/>
    <w:rsid w:val="003E79DF"/>
    <w:rsid w:val="003F0B83"/>
    <w:rsid w:val="003F14B6"/>
    <w:rsid w:val="003F3265"/>
    <w:rsid w:val="003F5B67"/>
    <w:rsid w:val="003F5CF8"/>
    <w:rsid w:val="003F7192"/>
    <w:rsid w:val="00400143"/>
    <w:rsid w:val="0040124F"/>
    <w:rsid w:val="004017D4"/>
    <w:rsid w:val="004050B0"/>
    <w:rsid w:val="00405BD3"/>
    <w:rsid w:val="00406C49"/>
    <w:rsid w:val="004076B3"/>
    <w:rsid w:val="00407DBE"/>
    <w:rsid w:val="00412973"/>
    <w:rsid w:val="00412A32"/>
    <w:rsid w:val="00412B9F"/>
    <w:rsid w:val="004130D5"/>
    <w:rsid w:val="00413EEF"/>
    <w:rsid w:val="00414F12"/>
    <w:rsid w:val="00415D9A"/>
    <w:rsid w:val="00420A8B"/>
    <w:rsid w:val="00420EAB"/>
    <w:rsid w:val="00421611"/>
    <w:rsid w:val="004216DE"/>
    <w:rsid w:val="00423009"/>
    <w:rsid w:val="004232B7"/>
    <w:rsid w:val="004240C1"/>
    <w:rsid w:val="0042418B"/>
    <w:rsid w:val="004248A2"/>
    <w:rsid w:val="00427392"/>
    <w:rsid w:val="00427808"/>
    <w:rsid w:val="0043036C"/>
    <w:rsid w:val="0043167C"/>
    <w:rsid w:val="004317F9"/>
    <w:rsid w:val="004321C8"/>
    <w:rsid w:val="004322EA"/>
    <w:rsid w:val="004330E4"/>
    <w:rsid w:val="00436A97"/>
    <w:rsid w:val="00437B49"/>
    <w:rsid w:val="0044008F"/>
    <w:rsid w:val="004417E5"/>
    <w:rsid w:val="00441A08"/>
    <w:rsid w:val="00442C7B"/>
    <w:rsid w:val="0044498B"/>
    <w:rsid w:val="0044507F"/>
    <w:rsid w:val="00446AF9"/>
    <w:rsid w:val="00446E81"/>
    <w:rsid w:val="00447D04"/>
    <w:rsid w:val="00451B20"/>
    <w:rsid w:val="00452753"/>
    <w:rsid w:val="00452B47"/>
    <w:rsid w:val="0045465E"/>
    <w:rsid w:val="00454B67"/>
    <w:rsid w:val="00455089"/>
    <w:rsid w:val="004578E7"/>
    <w:rsid w:val="00457D0C"/>
    <w:rsid w:val="00460885"/>
    <w:rsid w:val="004609D2"/>
    <w:rsid w:val="004610D0"/>
    <w:rsid w:val="004638A1"/>
    <w:rsid w:val="004655B8"/>
    <w:rsid w:val="00465884"/>
    <w:rsid w:val="00465CAC"/>
    <w:rsid w:val="00465FE0"/>
    <w:rsid w:val="0046629F"/>
    <w:rsid w:val="004668DD"/>
    <w:rsid w:val="00470B34"/>
    <w:rsid w:val="00471431"/>
    <w:rsid w:val="0047201B"/>
    <w:rsid w:val="004732BC"/>
    <w:rsid w:val="00473521"/>
    <w:rsid w:val="00481B26"/>
    <w:rsid w:val="004830C6"/>
    <w:rsid w:val="00483A82"/>
    <w:rsid w:val="00483B6B"/>
    <w:rsid w:val="0048411B"/>
    <w:rsid w:val="004852A3"/>
    <w:rsid w:val="004861F9"/>
    <w:rsid w:val="004904FA"/>
    <w:rsid w:val="00490BBC"/>
    <w:rsid w:val="004914D5"/>
    <w:rsid w:val="00492E59"/>
    <w:rsid w:val="0049360D"/>
    <w:rsid w:val="00493EF6"/>
    <w:rsid w:val="004943D8"/>
    <w:rsid w:val="004953A3"/>
    <w:rsid w:val="00495433"/>
    <w:rsid w:val="00495C18"/>
    <w:rsid w:val="00495EC9"/>
    <w:rsid w:val="004972A3"/>
    <w:rsid w:val="004979ED"/>
    <w:rsid w:val="00497BF1"/>
    <w:rsid w:val="004A2305"/>
    <w:rsid w:val="004A235E"/>
    <w:rsid w:val="004A25A7"/>
    <w:rsid w:val="004A3079"/>
    <w:rsid w:val="004A4A71"/>
    <w:rsid w:val="004A55D1"/>
    <w:rsid w:val="004B0E04"/>
    <w:rsid w:val="004B1084"/>
    <w:rsid w:val="004B11D0"/>
    <w:rsid w:val="004B4295"/>
    <w:rsid w:val="004B4CCF"/>
    <w:rsid w:val="004B5346"/>
    <w:rsid w:val="004B7BA5"/>
    <w:rsid w:val="004C23C8"/>
    <w:rsid w:val="004C2B97"/>
    <w:rsid w:val="004C2FFC"/>
    <w:rsid w:val="004C39AB"/>
    <w:rsid w:val="004C49B0"/>
    <w:rsid w:val="004C5157"/>
    <w:rsid w:val="004C64BB"/>
    <w:rsid w:val="004C6CB5"/>
    <w:rsid w:val="004C7557"/>
    <w:rsid w:val="004D139F"/>
    <w:rsid w:val="004D3004"/>
    <w:rsid w:val="004D4F5B"/>
    <w:rsid w:val="004E0381"/>
    <w:rsid w:val="004E1FA0"/>
    <w:rsid w:val="004E21C5"/>
    <w:rsid w:val="004E3A4D"/>
    <w:rsid w:val="004E4A6D"/>
    <w:rsid w:val="004E4D94"/>
    <w:rsid w:val="004E528D"/>
    <w:rsid w:val="004F0291"/>
    <w:rsid w:val="004F21FC"/>
    <w:rsid w:val="004F33C7"/>
    <w:rsid w:val="004F4BD4"/>
    <w:rsid w:val="004F4CBD"/>
    <w:rsid w:val="004F52AA"/>
    <w:rsid w:val="004F6025"/>
    <w:rsid w:val="004F67E4"/>
    <w:rsid w:val="004F686B"/>
    <w:rsid w:val="004F6CE9"/>
    <w:rsid w:val="004F7275"/>
    <w:rsid w:val="004F7E54"/>
    <w:rsid w:val="00500681"/>
    <w:rsid w:val="00500731"/>
    <w:rsid w:val="005018ED"/>
    <w:rsid w:val="00502867"/>
    <w:rsid w:val="005048AA"/>
    <w:rsid w:val="00507387"/>
    <w:rsid w:val="00512B67"/>
    <w:rsid w:val="0051360E"/>
    <w:rsid w:val="00515B92"/>
    <w:rsid w:val="005163F7"/>
    <w:rsid w:val="00520A27"/>
    <w:rsid w:val="00520F6B"/>
    <w:rsid w:val="0052148A"/>
    <w:rsid w:val="0052306A"/>
    <w:rsid w:val="00524F53"/>
    <w:rsid w:val="0052539B"/>
    <w:rsid w:val="00525729"/>
    <w:rsid w:val="00527293"/>
    <w:rsid w:val="005277F5"/>
    <w:rsid w:val="00527880"/>
    <w:rsid w:val="00531F3A"/>
    <w:rsid w:val="00532F9C"/>
    <w:rsid w:val="00533133"/>
    <w:rsid w:val="00533BF4"/>
    <w:rsid w:val="00534520"/>
    <w:rsid w:val="00534D2F"/>
    <w:rsid w:val="005354EB"/>
    <w:rsid w:val="005357CB"/>
    <w:rsid w:val="00535996"/>
    <w:rsid w:val="00537934"/>
    <w:rsid w:val="005419F6"/>
    <w:rsid w:val="00542308"/>
    <w:rsid w:val="00542431"/>
    <w:rsid w:val="00542A7F"/>
    <w:rsid w:val="00542DF2"/>
    <w:rsid w:val="00543775"/>
    <w:rsid w:val="00546ADF"/>
    <w:rsid w:val="00550689"/>
    <w:rsid w:val="00550863"/>
    <w:rsid w:val="00550EA2"/>
    <w:rsid w:val="00551221"/>
    <w:rsid w:val="005521E6"/>
    <w:rsid w:val="0055394D"/>
    <w:rsid w:val="00553A58"/>
    <w:rsid w:val="00553A62"/>
    <w:rsid w:val="00554D59"/>
    <w:rsid w:val="00555772"/>
    <w:rsid w:val="00560F12"/>
    <w:rsid w:val="00561158"/>
    <w:rsid w:val="00561463"/>
    <w:rsid w:val="005618A1"/>
    <w:rsid w:val="00563629"/>
    <w:rsid w:val="005654B9"/>
    <w:rsid w:val="0056628E"/>
    <w:rsid w:val="00566B46"/>
    <w:rsid w:val="00567642"/>
    <w:rsid w:val="00570C91"/>
    <w:rsid w:val="005724C3"/>
    <w:rsid w:val="00572EC3"/>
    <w:rsid w:val="005738B2"/>
    <w:rsid w:val="00575111"/>
    <w:rsid w:val="00576CAE"/>
    <w:rsid w:val="005807CD"/>
    <w:rsid w:val="005808C7"/>
    <w:rsid w:val="0058299D"/>
    <w:rsid w:val="0058379C"/>
    <w:rsid w:val="005865C0"/>
    <w:rsid w:val="0058703A"/>
    <w:rsid w:val="00587C1F"/>
    <w:rsid w:val="00591A8E"/>
    <w:rsid w:val="00591A9D"/>
    <w:rsid w:val="00592C41"/>
    <w:rsid w:val="005930BD"/>
    <w:rsid w:val="005945DB"/>
    <w:rsid w:val="005962E3"/>
    <w:rsid w:val="005A1144"/>
    <w:rsid w:val="005A15AD"/>
    <w:rsid w:val="005A2678"/>
    <w:rsid w:val="005A797D"/>
    <w:rsid w:val="005A7C7D"/>
    <w:rsid w:val="005B0598"/>
    <w:rsid w:val="005B4C37"/>
    <w:rsid w:val="005B5C8C"/>
    <w:rsid w:val="005C15B8"/>
    <w:rsid w:val="005C24DA"/>
    <w:rsid w:val="005C2A55"/>
    <w:rsid w:val="005C3D27"/>
    <w:rsid w:val="005C3DAA"/>
    <w:rsid w:val="005C739E"/>
    <w:rsid w:val="005D0642"/>
    <w:rsid w:val="005D064A"/>
    <w:rsid w:val="005D0D00"/>
    <w:rsid w:val="005D1337"/>
    <w:rsid w:val="005D1C3A"/>
    <w:rsid w:val="005D2435"/>
    <w:rsid w:val="005D2525"/>
    <w:rsid w:val="005D4C13"/>
    <w:rsid w:val="005D6B9F"/>
    <w:rsid w:val="005D6BC2"/>
    <w:rsid w:val="005D7DF9"/>
    <w:rsid w:val="005E2593"/>
    <w:rsid w:val="005E43F0"/>
    <w:rsid w:val="005E5680"/>
    <w:rsid w:val="005E5A00"/>
    <w:rsid w:val="005E613A"/>
    <w:rsid w:val="005E6BD2"/>
    <w:rsid w:val="005F0009"/>
    <w:rsid w:val="005F1BDE"/>
    <w:rsid w:val="005F2112"/>
    <w:rsid w:val="005F2353"/>
    <w:rsid w:val="005F41A7"/>
    <w:rsid w:val="005F45B5"/>
    <w:rsid w:val="005F4E87"/>
    <w:rsid w:val="006019FA"/>
    <w:rsid w:val="00601C7D"/>
    <w:rsid w:val="00605BC5"/>
    <w:rsid w:val="00611FE5"/>
    <w:rsid w:val="006134C5"/>
    <w:rsid w:val="00613718"/>
    <w:rsid w:val="00613E46"/>
    <w:rsid w:val="00613FEF"/>
    <w:rsid w:val="00615CA1"/>
    <w:rsid w:val="006166ED"/>
    <w:rsid w:val="00616C72"/>
    <w:rsid w:val="006171E1"/>
    <w:rsid w:val="00622918"/>
    <w:rsid w:val="00623020"/>
    <w:rsid w:val="006237AD"/>
    <w:rsid w:val="00624BCC"/>
    <w:rsid w:val="00624ED0"/>
    <w:rsid w:val="006277A9"/>
    <w:rsid w:val="006277FE"/>
    <w:rsid w:val="006301F9"/>
    <w:rsid w:val="00630E0A"/>
    <w:rsid w:val="006311CE"/>
    <w:rsid w:val="0063163F"/>
    <w:rsid w:val="00631E5C"/>
    <w:rsid w:val="0063545D"/>
    <w:rsid w:val="00636E5F"/>
    <w:rsid w:val="00637011"/>
    <w:rsid w:val="00640D02"/>
    <w:rsid w:val="00641040"/>
    <w:rsid w:val="00641876"/>
    <w:rsid w:val="00643E4A"/>
    <w:rsid w:val="006456F2"/>
    <w:rsid w:val="00646231"/>
    <w:rsid w:val="006478F1"/>
    <w:rsid w:val="00650096"/>
    <w:rsid w:val="0065119C"/>
    <w:rsid w:val="0065248B"/>
    <w:rsid w:val="00652C40"/>
    <w:rsid w:val="006548D2"/>
    <w:rsid w:val="00654B69"/>
    <w:rsid w:val="0065580F"/>
    <w:rsid w:val="00655F00"/>
    <w:rsid w:val="006560CC"/>
    <w:rsid w:val="006577B6"/>
    <w:rsid w:val="0066181B"/>
    <w:rsid w:val="00662035"/>
    <w:rsid w:val="00663D0E"/>
    <w:rsid w:val="006665BA"/>
    <w:rsid w:val="00670546"/>
    <w:rsid w:val="006706AE"/>
    <w:rsid w:val="00672BBF"/>
    <w:rsid w:val="00673B29"/>
    <w:rsid w:val="00676057"/>
    <w:rsid w:val="00677951"/>
    <w:rsid w:val="00681262"/>
    <w:rsid w:val="0068157E"/>
    <w:rsid w:val="00681F57"/>
    <w:rsid w:val="00682220"/>
    <w:rsid w:val="006848CE"/>
    <w:rsid w:val="006934CB"/>
    <w:rsid w:val="00695B94"/>
    <w:rsid w:val="00696E12"/>
    <w:rsid w:val="0069768E"/>
    <w:rsid w:val="006A12CA"/>
    <w:rsid w:val="006A4D34"/>
    <w:rsid w:val="006A5DC1"/>
    <w:rsid w:val="006A7848"/>
    <w:rsid w:val="006B1221"/>
    <w:rsid w:val="006B3284"/>
    <w:rsid w:val="006B383D"/>
    <w:rsid w:val="006B451E"/>
    <w:rsid w:val="006B5700"/>
    <w:rsid w:val="006B62BE"/>
    <w:rsid w:val="006B64C0"/>
    <w:rsid w:val="006B76A5"/>
    <w:rsid w:val="006B7B22"/>
    <w:rsid w:val="006B7BCA"/>
    <w:rsid w:val="006C33D4"/>
    <w:rsid w:val="006C37CF"/>
    <w:rsid w:val="006C3DB4"/>
    <w:rsid w:val="006C486C"/>
    <w:rsid w:val="006C4B8D"/>
    <w:rsid w:val="006C5944"/>
    <w:rsid w:val="006C6697"/>
    <w:rsid w:val="006C6FD3"/>
    <w:rsid w:val="006D0F0D"/>
    <w:rsid w:val="006D111F"/>
    <w:rsid w:val="006D1BCD"/>
    <w:rsid w:val="006D2326"/>
    <w:rsid w:val="006D38F2"/>
    <w:rsid w:val="006D3BD8"/>
    <w:rsid w:val="006D7FDA"/>
    <w:rsid w:val="006E1039"/>
    <w:rsid w:val="006E18E9"/>
    <w:rsid w:val="006E5AAE"/>
    <w:rsid w:val="006E5C8B"/>
    <w:rsid w:val="006E6F94"/>
    <w:rsid w:val="006E7337"/>
    <w:rsid w:val="006E74AD"/>
    <w:rsid w:val="006F025A"/>
    <w:rsid w:val="006F217D"/>
    <w:rsid w:val="006F2C08"/>
    <w:rsid w:val="006F2C20"/>
    <w:rsid w:val="006F5236"/>
    <w:rsid w:val="006F718F"/>
    <w:rsid w:val="006F7AA0"/>
    <w:rsid w:val="007006DB"/>
    <w:rsid w:val="007013D1"/>
    <w:rsid w:val="0070165D"/>
    <w:rsid w:val="007040B7"/>
    <w:rsid w:val="00704390"/>
    <w:rsid w:val="00705504"/>
    <w:rsid w:val="0070761D"/>
    <w:rsid w:val="00707B9F"/>
    <w:rsid w:val="007100E8"/>
    <w:rsid w:val="00710922"/>
    <w:rsid w:val="00711266"/>
    <w:rsid w:val="00712A87"/>
    <w:rsid w:val="00712D78"/>
    <w:rsid w:val="0071303B"/>
    <w:rsid w:val="0071319F"/>
    <w:rsid w:val="00713CD6"/>
    <w:rsid w:val="007143B6"/>
    <w:rsid w:val="00715364"/>
    <w:rsid w:val="00715426"/>
    <w:rsid w:val="007169E8"/>
    <w:rsid w:val="00716B82"/>
    <w:rsid w:val="00716D85"/>
    <w:rsid w:val="00717AF6"/>
    <w:rsid w:val="00720E63"/>
    <w:rsid w:val="0072151F"/>
    <w:rsid w:val="00722C43"/>
    <w:rsid w:val="007234B6"/>
    <w:rsid w:val="00731B6A"/>
    <w:rsid w:val="00733820"/>
    <w:rsid w:val="00734694"/>
    <w:rsid w:val="00734D44"/>
    <w:rsid w:val="007356BE"/>
    <w:rsid w:val="00736A3D"/>
    <w:rsid w:val="00736C5D"/>
    <w:rsid w:val="007379E6"/>
    <w:rsid w:val="00737BD3"/>
    <w:rsid w:val="00737D38"/>
    <w:rsid w:val="00740A99"/>
    <w:rsid w:val="00741B93"/>
    <w:rsid w:val="007423D5"/>
    <w:rsid w:val="007450E1"/>
    <w:rsid w:val="00746268"/>
    <w:rsid w:val="00747118"/>
    <w:rsid w:val="00751C4B"/>
    <w:rsid w:val="00753909"/>
    <w:rsid w:val="00754389"/>
    <w:rsid w:val="007544C5"/>
    <w:rsid w:val="007545DE"/>
    <w:rsid w:val="0075534E"/>
    <w:rsid w:val="007572D4"/>
    <w:rsid w:val="00761E69"/>
    <w:rsid w:val="007644D8"/>
    <w:rsid w:val="0076463C"/>
    <w:rsid w:val="00764A81"/>
    <w:rsid w:val="0076646D"/>
    <w:rsid w:val="00766AFA"/>
    <w:rsid w:val="00766BBC"/>
    <w:rsid w:val="00766D2D"/>
    <w:rsid w:val="007670EF"/>
    <w:rsid w:val="00767317"/>
    <w:rsid w:val="007708C9"/>
    <w:rsid w:val="00770F0D"/>
    <w:rsid w:val="00771212"/>
    <w:rsid w:val="007729AA"/>
    <w:rsid w:val="00773AEE"/>
    <w:rsid w:val="00773FBC"/>
    <w:rsid w:val="007743BE"/>
    <w:rsid w:val="00774BE9"/>
    <w:rsid w:val="007756D0"/>
    <w:rsid w:val="0077582C"/>
    <w:rsid w:val="00775F01"/>
    <w:rsid w:val="00775FC7"/>
    <w:rsid w:val="00777EF5"/>
    <w:rsid w:val="00780027"/>
    <w:rsid w:val="00780F1C"/>
    <w:rsid w:val="0078273D"/>
    <w:rsid w:val="007834A8"/>
    <w:rsid w:val="00783A39"/>
    <w:rsid w:val="0078441F"/>
    <w:rsid w:val="00786AA2"/>
    <w:rsid w:val="0078788B"/>
    <w:rsid w:val="00787A22"/>
    <w:rsid w:val="00790E2A"/>
    <w:rsid w:val="00791021"/>
    <w:rsid w:val="00791427"/>
    <w:rsid w:val="007939B4"/>
    <w:rsid w:val="00793C83"/>
    <w:rsid w:val="00793D25"/>
    <w:rsid w:val="00794E04"/>
    <w:rsid w:val="00794E9F"/>
    <w:rsid w:val="00795300"/>
    <w:rsid w:val="00795AAE"/>
    <w:rsid w:val="00795E1D"/>
    <w:rsid w:val="00796EB5"/>
    <w:rsid w:val="00796FFC"/>
    <w:rsid w:val="007A1790"/>
    <w:rsid w:val="007A1C44"/>
    <w:rsid w:val="007A1F85"/>
    <w:rsid w:val="007A233E"/>
    <w:rsid w:val="007A30EC"/>
    <w:rsid w:val="007A4BF1"/>
    <w:rsid w:val="007A5133"/>
    <w:rsid w:val="007A5E74"/>
    <w:rsid w:val="007A62A9"/>
    <w:rsid w:val="007A714D"/>
    <w:rsid w:val="007A71E6"/>
    <w:rsid w:val="007A7ACA"/>
    <w:rsid w:val="007B00C5"/>
    <w:rsid w:val="007B3752"/>
    <w:rsid w:val="007B37FC"/>
    <w:rsid w:val="007B38CC"/>
    <w:rsid w:val="007B569C"/>
    <w:rsid w:val="007B5EA4"/>
    <w:rsid w:val="007B630B"/>
    <w:rsid w:val="007B69B1"/>
    <w:rsid w:val="007B7DAC"/>
    <w:rsid w:val="007C1ACE"/>
    <w:rsid w:val="007C2622"/>
    <w:rsid w:val="007C2910"/>
    <w:rsid w:val="007C2EED"/>
    <w:rsid w:val="007C398D"/>
    <w:rsid w:val="007C41F3"/>
    <w:rsid w:val="007C47EE"/>
    <w:rsid w:val="007C50DE"/>
    <w:rsid w:val="007D0385"/>
    <w:rsid w:val="007D3204"/>
    <w:rsid w:val="007D4896"/>
    <w:rsid w:val="007D5245"/>
    <w:rsid w:val="007D5BEE"/>
    <w:rsid w:val="007D6701"/>
    <w:rsid w:val="007E129D"/>
    <w:rsid w:val="007E523C"/>
    <w:rsid w:val="007E66AE"/>
    <w:rsid w:val="007E7101"/>
    <w:rsid w:val="007E72F5"/>
    <w:rsid w:val="007E7C3C"/>
    <w:rsid w:val="007F2E90"/>
    <w:rsid w:val="007F3A8F"/>
    <w:rsid w:val="007F4897"/>
    <w:rsid w:val="007F53D8"/>
    <w:rsid w:val="007F594E"/>
    <w:rsid w:val="007F78C5"/>
    <w:rsid w:val="007F7DA8"/>
    <w:rsid w:val="0080010A"/>
    <w:rsid w:val="00801839"/>
    <w:rsid w:val="008025B4"/>
    <w:rsid w:val="00802F7F"/>
    <w:rsid w:val="00806B18"/>
    <w:rsid w:val="00807EF1"/>
    <w:rsid w:val="0081081D"/>
    <w:rsid w:val="0081090D"/>
    <w:rsid w:val="00812EB5"/>
    <w:rsid w:val="00812F9E"/>
    <w:rsid w:val="008130EC"/>
    <w:rsid w:val="008141AD"/>
    <w:rsid w:val="00814474"/>
    <w:rsid w:val="008147CD"/>
    <w:rsid w:val="0081569F"/>
    <w:rsid w:val="008204F1"/>
    <w:rsid w:val="00821BCC"/>
    <w:rsid w:val="00823BEC"/>
    <w:rsid w:val="008250D9"/>
    <w:rsid w:val="0082771E"/>
    <w:rsid w:val="00831805"/>
    <w:rsid w:val="00832198"/>
    <w:rsid w:val="00833CA9"/>
    <w:rsid w:val="008341B1"/>
    <w:rsid w:val="0083524A"/>
    <w:rsid w:val="008434D8"/>
    <w:rsid w:val="00843921"/>
    <w:rsid w:val="00843F36"/>
    <w:rsid w:val="008440FE"/>
    <w:rsid w:val="00844A3B"/>
    <w:rsid w:val="008451F3"/>
    <w:rsid w:val="00846553"/>
    <w:rsid w:val="008473F6"/>
    <w:rsid w:val="00854275"/>
    <w:rsid w:val="00854FA1"/>
    <w:rsid w:val="00855A9F"/>
    <w:rsid w:val="00855E28"/>
    <w:rsid w:val="00862E54"/>
    <w:rsid w:val="00864FA6"/>
    <w:rsid w:val="0086600D"/>
    <w:rsid w:val="0086630C"/>
    <w:rsid w:val="00867A69"/>
    <w:rsid w:val="00867E38"/>
    <w:rsid w:val="00871B95"/>
    <w:rsid w:val="008727DB"/>
    <w:rsid w:val="008728C2"/>
    <w:rsid w:val="00873205"/>
    <w:rsid w:val="00873903"/>
    <w:rsid w:val="00874381"/>
    <w:rsid w:val="008756DC"/>
    <w:rsid w:val="00876661"/>
    <w:rsid w:val="00876BC8"/>
    <w:rsid w:val="008771A2"/>
    <w:rsid w:val="00877B38"/>
    <w:rsid w:val="00880844"/>
    <w:rsid w:val="00880AAB"/>
    <w:rsid w:val="00880DBD"/>
    <w:rsid w:val="00881B86"/>
    <w:rsid w:val="00882614"/>
    <w:rsid w:val="008832F1"/>
    <w:rsid w:val="008838D0"/>
    <w:rsid w:val="00885E41"/>
    <w:rsid w:val="00885EF0"/>
    <w:rsid w:val="0088701C"/>
    <w:rsid w:val="0088744A"/>
    <w:rsid w:val="008901A5"/>
    <w:rsid w:val="00891682"/>
    <w:rsid w:val="00891BE9"/>
    <w:rsid w:val="0089244D"/>
    <w:rsid w:val="0089250C"/>
    <w:rsid w:val="0089261B"/>
    <w:rsid w:val="008937C3"/>
    <w:rsid w:val="00894DD9"/>
    <w:rsid w:val="00894FB5"/>
    <w:rsid w:val="008964C5"/>
    <w:rsid w:val="008A01A0"/>
    <w:rsid w:val="008A0D7D"/>
    <w:rsid w:val="008A1095"/>
    <w:rsid w:val="008A139D"/>
    <w:rsid w:val="008A1AB3"/>
    <w:rsid w:val="008A1F8A"/>
    <w:rsid w:val="008A343F"/>
    <w:rsid w:val="008A3F0A"/>
    <w:rsid w:val="008A7E6C"/>
    <w:rsid w:val="008B2F84"/>
    <w:rsid w:val="008B2FAE"/>
    <w:rsid w:val="008B3646"/>
    <w:rsid w:val="008B4937"/>
    <w:rsid w:val="008B5F30"/>
    <w:rsid w:val="008B64D2"/>
    <w:rsid w:val="008B6534"/>
    <w:rsid w:val="008C03AD"/>
    <w:rsid w:val="008C0B38"/>
    <w:rsid w:val="008C0E26"/>
    <w:rsid w:val="008C1279"/>
    <w:rsid w:val="008C4100"/>
    <w:rsid w:val="008C4B52"/>
    <w:rsid w:val="008C4D04"/>
    <w:rsid w:val="008C4F0F"/>
    <w:rsid w:val="008C74F0"/>
    <w:rsid w:val="008C79AB"/>
    <w:rsid w:val="008C7B00"/>
    <w:rsid w:val="008D01DE"/>
    <w:rsid w:val="008D2F0D"/>
    <w:rsid w:val="008D5AD7"/>
    <w:rsid w:val="008E268A"/>
    <w:rsid w:val="008E505C"/>
    <w:rsid w:val="008E6051"/>
    <w:rsid w:val="008E7FD7"/>
    <w:rsid w:val="008F0466"/>
    <w:rsid w:val="008F0EA7"/>
    <w:rsid w:val="008F1344"/>
    <w:rsid w:val="008F175C"/>
    <w:rsid w:val="008F2230"/>
    <w:rsid w:val="008F290B"/>
    <w:rsid w:val="008F389A"/>
    <w:rsid w:val="008F4005"/>
    <w:rsid w:val="008F40E0"/>
    <w:rsid w:val="008F46FD"/>
    <w:rsid w:val="008F51A9"/>
    <w:rsid w:val="008F562F"/>
    <w:rsid w:val="008F6FC2"/>
    <w:rsid w:val="008F78B0"/>
    <w:rsid w:val="008F7F70"/>
    <w:rsid w:val="00900728"/>
    <w:rsid w:val="00900DBC"/>
    <w:rsid w:val="00900EC0"/>
    <w:rsid w:val="00903C5C"/>
    <w:rsid w:val="0090710D"/>
    <w:rsid w:val="00907F21"/>
    <w:rsid w:val="00911589"/>
    <w:rsid w:val="009118A4"/>
    <w:rsid w:val="009125B9"/>
    <w:rsid w:val="0091487A"/>
    <w:rsid w:val="00915589"/>
    <w:rsid w:val="00915919"/>
    <w:rsid w:val="00917263"/>
    <w:rsid w:val="009173BE"/>
    <w:rsid w:val="00920B10"/>
    <w:rsid w:val="0092582D"/>
    <w:rsid w:val="009267A1"/>
    <w:rsid w:val="0093154B"/>
    <w:rsid w:val="00933614"/>
    <w:rsid w:val="009348BB"/>
    <w:rsid w:val="0093525C"/>
    <w:rsid w:val="009364BA"/>
    <w:rsid w:val="009427D0"/>
    <w:rsid w:val="00943D14"/>
    <w:rsid w:val="0094465E"/>
    <w:rsid w:val="009469C7"/>
    <w:rsid w:val="00951A40"/>
    <w:rsid w:val="00952536"/>
    <w:rsid w:val="00954499"/>
    <w:rsid w:val="009547CF"/>
    <w:rsid w:val="0096220E"/>
    <w:rsid w:val="009623FC"/>
    <w:rsid w:val="0096290B"/>
    <w:rsid w:val="00962F8E"/>
    <w:rsid w:val="0096335B"/>
    <w:rsid w:val="00965FBE"/>
    <w:rsid w:val="00966FD8"/>
    <w:rsid w:val="0096721C"/>
    <w:rsid w:val="009702F8"/>
    <w:rsid w:val="00970D03"/>
    <w:rsid w:val="00971386"/>
    <w:rsid w:val="009725A8"/>
    <w:rsid w:val="009749DD"/>
    <w:rsid w:val="009759F7"/>
    <w:rsid w:val="00977590"/>
    <w:rsid w:val="00977B14"/>
    <w:rsid w:val="00977D71"/>
    <w:rsid w:val="009801F6"/>
    <w:rsid w:val="009804C5"/>
    <w:rsid w:val="00981322"/>
    <w:rsid w:val="00985561"/>
    <w:rsid w:val="0099088A"/>
    <w:rsid w:val="00990E9D"/>
    <w:rsid w:val="00992727"/>
    <w:rsid w:val="009958CC"/>
    <w:rsid w:val="009968DC"/>
    <w:rsid w:val="00996D75"/>
    <w:rsid w:val="009A031B"/>
    <w:rsid w:val="009A0BCE"/>
    <w:rsid w:val="009A279F"/>
    <w:rsid w:val="009A2FEE"/>
    <w:rsid w:val="009A414D"/>
    <w:rsid w:val="009A421E"/>
    <w:rsid w:val="009A430A"/>
    <w:rsid w:val="009A5CF3"/>
    <w:rsid w:val="009B0452"/>
    <w:rsid w:val="009B1E9E"/>
    <w:rsid w:val="009B2321"/>
    <w:rsid w:val="009B3C42"/>
    <w:rsid w:val="009B3C8D"/>
    <w:rsid w:val="009B596F"/>
    <w:rsid w:val="009B5A59"/>
    <w:rsid w:val="009B68BB"/>
    <w:rsid w:val="009B7B8B"/>
    <w:rsid w:val="009B7FF3"/>
    <w:rsid w:val="009C0D55"/>
    <w:rsid w:val="009C1D41"/>
    <w:rsid w:val="009C2BAD"/>
    <w:rsid w:val="009C43DA"/>
    <w:rsid w:val="009C46CE"/>
    <w:rsid w:val="009C5B45"/>
    <w:rsid w:val="009C6989"/>
    <w:rsid w:val="009D0334"/>
    <w:rsid w:val="009D0612"/>
    <w:rsid w:val="009D20DC"/>
    <w:rsid w:val="009D222B"/>
    <w:rsid w:val="009D2DB6"/>
    <w:rsid w:val="009D5CC0"/>
    <w:rsid w:val="009D7727"/>
    <w:rsid w:val="009E02FB"/>
    <w:rsid w:val="009E0CA0"/>
    <w:rsid w:val="009E287A"/>
    <w:rsid w:val="009E2914"/>
    <w:rsid w:val="009E3734"/>
    <w:rsid w:val="009E4BBD"/>
    <w:rsid w:val="009E66D4"/>
    <w:rsid w:val="009F09E0"/>
    <w:rsid w:val="009F16B6"/>
    <w:rsid w:val="009F3A60"/>
    <w:rsid w:val="009F3AA2"/>
    <w:rsid w:val="009F661B"/>
    <w:rsid w:val="00A00E56"/>
    <w:rsid w:val="00A00F2F"/>
    <w:rsid w:val="00A0208E"/>
    <w:rsid w:val="00A03776"/>
    <w:rsid w:val="00A04BD4"/>
    <w:rsid w:val="00A05006"/>
    <w:rsid w:val="00A055B0"/>
    <w:rsid w:val="00A077B7"/>
    <w:rsid w:val="00A07F2B"/>
    <w:rsid w:val="00A109FE"/>
    <w:rsid w:val="00A112A7"/>
    <w:rsid w:val="00A11778"/>
    <w:rsid w:val="00A134E1"/>
    <w:rsid w:val="00A14512"/>
    <w:rsid w:val="00A14530"/>
    <w:rsid w:val="00A1498D"/>
    <w:rsid w:val="00A15A57"/>
    <w:rsid w:val="00A20A19"/>
    <w:rsid w:val="00A21092"/>
    <w:rsid w:val="00A21E0A"/>
    <w:rsid w:val="00A22344"/>
    <w:rsid w:val="00A24E22"/>
    <w:rsid w:val="00A255A1"/>
    <w:rsid w:val="00A25E8D"/>
    <w:rsid w:val="00A32D28"/>
    <w:rsid w:val="00A339C3"/>
    <w:rsid w:val="00A33ACA"/>
    <w:rsid w:val="00A34A6C"/>
    <w:rsid w:val="00A3527B"/>
    <w:rsid w:val="00A36183"/>
    <w:rsid w:val="00A42F60"/>
    <w:rsid w:val="00A44DA2"/>
    <w:rsid w:val="00A458FA"/>
    <w:rsid w:val="00A47778"/>
    <w:rsid w:val="00A50812"/>
    <w:rsid w:val="00A50CE5"/>
    <w:rsid w:val="00A50FB0"/>
    <w:rsid w:val="00A52440"/>
    <w:rsid w:val="00A549AD"/>
    <w:rsid w:val="00A5746F"/>
    <w:rsid w:val="00A603EB"/>
    <w:rsid w:val="00A610D2"/>
    <w:rsid w:val="00A615BE"/>
    <w:rsid w:val="00A63D7D"/>
    <w:rsid w:val="00A6732F"/>
    <w:rsid w:val="00A67C92"/>
    <w:rsid w:val="00A71C73"/>
    <w:rsid w:val="00A72D8F"/>
    <w:rsid w:val="00A735F0"/>
    <w:rsid w:val="00A73E18"/>
    <w:rsid w:val="00A74CE9"/>
    <w:rsid w:val="00A775BD"/>
    <w:rsid w:val="00A77FFB"/>
    <w:rsid w:val="00A80232"/>
    <w:rsid w:val="00A80E13"/>
    <w:rsid w:val="00A81102"/>
    <w:rsid w:val="00A81A64"/>
    <w:rsid w:val="00A82AFE"/>
    <w:rsid w:val="00A831E8"/>
    <w:rsid w:val="00A838D4"/>
    <w:rsid w:val="00A83B35"/>
    <w:rsid w:val="00A83C2F"/>
    <w:rsid w:val="00A848D9"/>
    <w:rsid w:val="00A84C94"/>
    <w:rsid w:val="00A879F9"/>
    <w:rsid w:val="00A87E53"/>
    <w:rsid w:val="00A901A7"/>
    <w:rsid w:val="00A90B62"/>
    <w:rsid w:val="00A9181A"/>
    <w:rsid w:val="00A94021"/>
    <w:rsid w:val="00A9405B"/>
    <w:rsid w:val="00A946E1"/>
    <w:rsid w:val="00A94E0F"/>
    <w:rsid w:val="00A950F6"/>
    <w:rsid w:val="00A9542D"/>
    <w:rsid w:val="00A95A49"/>
    <w:rsid w:val="00A95D33"/>
    <w:rsid w:val="00A97383"/>
    <w:rsid w:val="00A97754"/>
    <w:rsid w:val="00AA085E"/>
    <w:rsid w:val="00AA22CA"/>
    <w:rsid w:val="00AA2E68"/>
    <w:rsid w:val="00AA3755"/>
    <w:rsid w:val="00AA4444"/>
    <w:rsid w:val="00AA5768"/>
    <w:rsid w:val="00AA5FA6"/>
    <w:rsid w:val="00AA680E"/>
    <w:rsid w:val="00AA6EDC"/>
    <w:rsid w:val="00AA7114"/>
    <w:rsid w:val="00AA7B2E"/>
    <w:rsid w:val="00AA7B8C"/>
    <w:rsid w:val="00AB02EC"/>
    <w:rsid w:val="00AB063F"/>
    <w:rsid w:val="00AB0E2A"/>
    <w:rsid w:val="00AB13A8"/>
    <w:rsid w:val="00AB32C5"/>
    <w:rsid w:val="00AB341F"/>
    <w:rsid w:val="00AB3F70"/>
    <w:rsid w:val="00AB445A"/>
    <w:rsid w:val="00AB4961"/>
    <w:rsid w:val="00AB66ED"/>
    <w:rsid w:val="00AB72C8"/>
    <w:rsid w:val="00AC0853"/>
    <w:rsid w:val="00AC159E"/>
    <w:rsid w:val="00AC1875"/>
    <w:rsid w:val="00AC5281"/>
    <w:rsid w:val="00AD00FD"/>
    <w:rsid w:val="00AD01B3"/>
    <w:rsid w:val="00AD0721"/>
    <w:rsid w:val="00AD16B3"/>
    <w:rsid w:val="00AD2621"/>
    <w:rsid w:val="00AD2983"/>
    <w:rsid w:val="00AD5CE4"/>
    <w:rsid w:val="00AD6579"/>
    <w:rsid w:val="00AD6B83"/>
    <w:rsid w:val="00AD7181"/>
    <w:rsid w:val="00AE1E09"/>
    <w:rsid w:val="00AE2057"/>
    <w:rsid w:val="00AE3A0B"/>
    <w:rsid w:val="00AE484E"/>
    <w:rsid w:val="00AE4933"/>
    <w:rsid w:val="00AF0FBC"/>
    <w:rsid w:val="00AF1265"/>
    <w:rsid w:val="00AF2CBE"/>
    <w:rsid w:val="00AF3069"/>
    <w:rsid w:val="00AF4357"/>
    <w:rsid w:val="00AF6C80"/>
    <w:rsid w:val="00AF7161"/>
    <w:rsid w:val="00B00ADA"/>
    <w:rsid w:val="00B02013"/>
    <w:rsid w:val="00B02934"/>
    <w:rsid w:val="00B04E4F"/>
    <w:rsid w:val="00B05DFF"/>
    <w:rsid w:val="00B0620E"/>
    <w:rsid w:val="00B0674B"/>
    <w:rsid w:val="00B06BDC"/>
    <w:rsid w:val="00B06E8A"/>
    <w:rsid w:val="00B07276"/>
    <w:rsid w:val="00B076F4"/>
    <w:rsid w:val="00B10B75"/>
    <w:rsid w:val="00B114C5"/>
    <w:rsid w:val="00B11620"/>
    <w:rsid w:val="00B16C6F"/>
    <w:rsid w:val="00B225AC"/>
    <w:rsid w:val="00B22FB2"/>
    <w:rsid w:val="00B237C1"/>
    <w:rsid w:val="00B24876"/>
    <w:rsid w:val="00B24A97"/>
    <w:rsid w:val="00B24D1C"/>
    <w:rsid w:val="00B26BD5"/>
    <w:rsid w:val="00B26E3F"/>
    <w:rsid w:val="00B30FD2"/>
    <w:rsid w:val="00B324CA"/>
    <w:rsid w:val="00B33798"/>
    <w:rsid w:val="00B339BD"/>
    <w:rsid w:val="00B34417"/>
    <w:rsid w:val="00B3452D"/>
    <w:rsid w:val="00B34FDD"/>
    <w:rsid w:val="00B35B2F"/>
    <w:rsid w:val="00B403A4"/>
    <w:rsid w:val="00B4273C"/>
    <w:rsid w:val="00B4290F"/>
    <w:rsid w:val="00B42E85"/>
    <w:rsid w:val="00B42FC4"/>
    <w:rsid w:val="00B43AC2"/>
    <w:rsid w:val="00B447A3"/>
    <w:rsid w:val="00B44F3C"/>
    <w:rsid w:val="00B45BB4"/>
    <w:rsid w:val="00B46BB7"/>
    <w:rsid w:val="00B50059"/>
    <w:rsid w:val="00B54516"/>
    <w:rsid w:val="00B545A7"/>
    <w:rsid w:val="00B55516"/>
    <w:rsid w:val="00B5629E"/>
    <w:rsid w:val="00B61523"/>
    <w:rsid w:val="00B64E49"/>
    <w:rsid w:val="00B7001A"/>
    <w:rsid w:val="00B7143B"/>
    <w:rsid w:val="00B71690"/>
    <w:rsid w:val="00B71BF7"/>
    <w:rsid w:val="00B722C3"/>
    <w:rsid w:val="00B728A6"/>
    <w:rsid w:val="00B7518D"/>
    <w:rsid w:val="00B7575F"/>
    <w:rsid w:val="00B759D5"/>
    <w:rsid w:val="00B770C0"/>
    <w:rsid w:val="00B772BC"/>
    <w:rsid w:val="00B776C8"/>
    <w:rsid w:val="00B779ED"/>
    <w:rsid w:val="00B801DC"/>
    <w:rsid w:val="00B81B0A"/>
    <w:rsid w:val="00B8396B"/>
    <w:rsid w:val="00B84341"/>
    <w:rsid w:val="00B84D45"/>
    <w:rsid w:val="00B86DDC"/>
    <w:rsid w:val="00B8740E"/>
    <w:rsid w:val="00B906F8"/>
    <w:rsid w:val="00B907BA"/>
    <w:rsid w:val="00B91DCD"/>
    <w:rsid w:val="00B932D0"/>
    <w:rsid w:val="00B93720"/>
    <w:rsid w:val="00B940CB"/>
    <w:rsid w:val="00B96C72"/>
    <w:rsid w:val="00B96F54"/>
    <w:rsid w:val="00B97C6A"/>
    <w:rsid w:val="00BA07C8"/>
    <w:rsid w:val="00BA325D"/>
    <w:rsid w:val="00BA516B"/>
    <w:rsid w:val="00BA6449"/>
    <w:rsid w:val="00BA7883"/>
    <w:rsid w:val="00BA7D1B"/>
    <w:rsid w:val="00BB0633"/>
    <w:rsid w:val="00BB0AE2"/>
    <w:rsid w:val="00BB0E24"/>
    <w:rsid w:val="00BB138D"/>
    <w:rsid w:val="00BB1571"/>
    <w:rsid w:val="00BB3F76"/>
    <w:rsid w:val="00BB45B0"/>
    <w:rsid w:val="00BB4610"/>
    <w:rsid w:val="00BB464B"/>
    <w:rsid w:val="00BB6010"/>
    <w:rsid w:val="00BC2E78"/>
    <w:rsid w:val="00BC57C7"/>
    <w:rsid w:val="00BC5AAB"/>
    <w:rsid w:val="00BC5C10"/>
    <w:rsid w:val="00BD049A"/>
    <w:rsid w:val="00BD2AB3"/>
    <w:rsid w:val="00BD341C"/>
    <w:rsid w:val="00BD4FA3"/>
    <w:rsid w:val="00BD5A1F"/>
    <w:rsid w:val="00BD6235"/>
    <w:rsid w:val="00BD6995"/>
    <w:rsid w:val="00BE026D"/>
    <w:rsid w:val="00BE140F"/>
    <w:rsid w:val="00BE1E68"/>
    <w:rsid w:val="00BE258B"/>
    <w:rsid w:val="00BE44B8"/>
    <w:rsid w:val="00BE5AC0"/>
    <w:rsid w:val="00BE6C09"/>
    <w:rsid w:val="00BF0B36"/>
    <w:rsid w:val="00BF17B7"/>
    <w:rsid w:val="00BF22F0"/>
    <w:rsid w:val="00BF38F0"/>
    <w:rsid w:val="00C05A2B"/>
    <w:rsid w:val="00C06B67"/>
    <w:rsid w:val="00C075B0"/>
    <w:rsid w:val="00C07BCF"/>
    <w:rsid w:val="00C11030"/>
    <w:rsid w:val="00C1103E"/>
    <w:rsid w:val="00C1284B"/>
    <w:rsid w:val="00C131FE"/>
    <w:rsid w:val="00C169A6"/>
    <w:rsid w:val="00C22C96"/>
    <w:rsid w:val="00C2376D"/>
    <w:rsid w:val="00C2378C"/>
    <w:rsid w:val="00C243DB"/>
    <w:rsid w:val="00C26109"/>
    <w:rsid w:val="00C2619C"/>
    <w:rsid w:val="00C263E7"/>
    <w:rsid w:val="00C26D35"/>
    <w:rsid w:val="00C27E7B"/>
    <w:rsid w:val="00C30E72"/>
    <w:rsid w:val="00C30F93"/>
    <w:rsid w:val="00C31DCD"/>
    <w:rsid w:val="00C31E9D"/>
    <w:rsid w:val="00C338E6"/>
    <w:rsid w:val="00C35774"/>
    <w:rsid w:val="00C36563"/>
    <w:rsid w:val="00C4290E"/>
    <w:rsid w:val="00C4484C"/>
    <w:rsid w:val="00C45AD0"/>
    <w:rsid w:val="00C467C7"/>
    <w:rsid w:val="00C47639"/>
    <w:rsid w:val="00C47CCC"/>
    <w:rsid w:val="00C51AF5"/>
    <w:rsid w:val="00C53460"/>
    <w:rsid w:val="00C53839"/>
    <w:rsid w:val="00C53913"/>
    <w:rsid w:val="00C54114"/>
    <w:rsid w:val="00C56CF6"/>
    <w:rsid w:val="00C578B7"/>
    <w:rsid w:val="00C604E8"/>
    <w:rsid w:val="00C64419"/>
    <w:rsid w:val="00C645F0"/>
    <w:rsid w:val="00C6481D"/>
    <w:rsid w:val="00C64B0E"/>
    <w:rsid w:val="00C676D6"/>
    <w:rsid w:val="00C67C37"/>
    <w:rsid w:val="00C700F7"/>
    <w:rsid w:val="00C70689"/>
    <w:rsid w:val="00C74160"/>
    <w:rsid w:val="00C7463B"/>
    <w:rsid w:val="00C7624F"/>
    <w:rsid w:val="00C80CBC"/>
    <w:rsid w:val="00C80D78"/>
    <w:rsid w:val="00C8339E"/>
    <w:rsid w:val="00C85FB0"/>
    <w:rsid w:val="00C8649F"/>
    <w:rsid w:val="00C87D1E"/>
    <w:rsid w:val="00C87E27"/>
    <w:rsid w:val="00C90074"/>
    <w:rsid w:val="00C903E0"/>
    <w:rsid w:val="00C90C17"/>
    <w:rsid w:val="00C9178D"/>
    <w:rsid w:val="00C91F4F"/>
    <w:rsid w:val="00C92830"/>
    <w:rsid w:val="00C93E2E"/>
    <w:rsid w:val="00C946A2"/>
    <w:rsid w:val="00C96B13"/>
    <w:rsid w:val="00CA0969"/>
    <w:rsid w:val="00CA0EC4"/>
    <w:rsid w:val="00CA1707"/>
    <w:rsid w:val="00CA2E7B"/>
    <w:rsid w:val="00CA48ED"/>
    <w:rsid w:val="00CA7136"/>
    <w:rsid w:val="00CB0D9D"/>
    <w:rsid w:val="00CB2382"/>
    <w:rsid w:val="00CB2452"/>
    <w:rsid w:val="00CB5FC2"/>
    <w:rsid w:val="00CB6408"/>
    <w:rsid w:val="00CB6585"/>
    <w:rsid w:val="00CC40A1"/>
    <w:rsid w:val="00CC4F6D"/>
    <w:rsid w:val="00CC64E6"/>
    <w:rsid w:val="00CC6792"/>
    <w:rsid w:val="00CC7791"/>
    <w:rsid w:val="00CD23CA"/>
    <w:rsid w:val="00CD27F9"/>
    <w:rsid w:val="00CD2A57"/>
    <w:rsid w:val="00CD542A"/>
    <w:rsid w:val="00CD5DB8"/>
    <w:rsid w:val="00CD68E0"/>
    <w:rsid w:val="00CD7568"/>
    <w:rsid w:val="00CD792C"/>
    <w:rsid w:val="00CD7FF1"/>
    <w:rsid w:val="00CE0AF2"/>
    <w:rsid w:val="00CE26FE"/>
    <w:rsid w:val="00CE419E"/>
    <w:rsid w:val="00CE4F47"/>
    <w:rsid w:val="00CE544D"/>
    <w:rsid w:val="00CE60B1"/>
    <w:rsid w:val="00CE67CF"/>
    <w:rsid w:val="00CE71CD"/>
    <w:rsid w:val="00CE791F"/>
    <w:rsid w:val="00CF1766"/>
    <w:rsid w:val="00CF1DC1"/>
    <w:rsid w:val="00CF3197"/>
    <w:rsid w:val="00CF372E"/>
    <w:rsid w:val="00CF4DD7"/>
    <w:rsid w:val="00CF4F20"/>
    <w:rsid w:val="00CF5CBC"/>
    <w:rsid w:val="00CF67DC"/>
    <w:rsid w:val="00D023A8"/>
    <w:rsid w:val="00D06F2B"/>
    <w:rsid w:val="00D118A3"/>
    <w:rsid w:val="00D12A75"/>
    <w:rsid w:val="00D13155"/>
    <w:rsid w:val="00D13551"/>
    <w:rsid w:val="00D15587"/>
    <w:rsid w:val="00D16683"/>
    <w:rsid w:val="00D172A4"/>
    <w:rsid w:val="00D173B6"/>
    <w:rsid w:val="00D1762E"/>
    <w:rsid w:val="00D2046B"/>
    <w:rsid w:val="00D20F03"/>
    <w:rsid w:val="00D233F5"/>
    <w:rsid w:val="00D2400A"/>
    <w:rsid w:val="00D2459F"/>
    <w:rsid w:val="00D25477"/>
    <w:rsid w:val="00D25F73"/>
    <w:rsid w:val="00D2727A"/>
    <w:rsid w:val="00D3013E"/>
    <w:rsid w:val="00D302EB"/>
    <w:rsid w:val="00D30ADB"/>
    <w:rsid w:val="00D30F57"/>
    <w:rsid w:val="00D3216E"/>
    <w:rsid w:val="00D32742"/>
    <w:rsid w:val="00D33323"/>
    <w:rsid w:val="00D341E4"/>
    <w:rsid w:val="00D34B2D"/>
    <w:rsid w:val="00D34B72"/>
    <w:rsid w:val="00D352E9"/>
    <w:rsid w:val="00D35346"/>
    <w:rsid w:val="00D3652D"/>
    <w:rsid w:val="00D36CB3"/>
    <w:rsid w:val="00D36FAF"/>
    <w:rsid w:val="00D37187"/>
    <w:rsid w:val="00D433C5"/>
    <w:rsid w:val="00D43F76"/>
    <w:rsid w:val="00D45EDA"/>
    <w:rsid w:val="00D47981"/>
    <w:rsid w:val="00D505E4"/>
    <w:rsid w:val="00D516B7"/>
    <w:rsid w:val="00D52F70"/>
    <w:rsid w:val="00D5424D"/>
    <w:rsid w:val="00D56B80"/>
    <w:rsid w:val="00D573DD"/>
    <w:rsid w:val="00D61345"/>
    <w:rsid w:val="00D613DF"/>
    <w:rsid w:val="00D61A06"/>
    <w:rsid w:val="00D61FB6"/>
    <w:rsid w:val="00D62EF3"/>
    <w:rsid w:val="00D63581"/>
    <w:rsid w:val="00D6538E"/>
    <w:rsid w:val="00D70309"/>
    <w:rsid w:val="00D71DAD"/>
    <w:rsid w:val="00D72106"/>
    <w:rsid w:val="00D72623"/>
    <w:rsid w:val="00D7430B"/>
    <w:rsid w:val="00D74AD4"/>
    <w:rsid w:val="00D7507E"/>
    <w:rsid w:val="00D763AC"/>
    <w:rsid w:val="00D76EA0"/>
    <w:rsid w:val="00D8010C"/>
    <w:rsid w:val="00D80919"/>
    <w:rsid w:val="00D80F0B"/>
    <w:rsid w:val="00D82285"/>
    <w:rsid w:val="00D8349E"/>
    <w:rsid w:val="00D83A81"/>
    <w:rsid w:val="00D83AD0"/>
    <w:rsid w:val="00D84677"/>
    <w:rsid w:val="00D861C0"/>
    <w:rsid w:val="00D86682"/>
    <w:rsid w:val="00D86C12"/>
    <w:rsid w:val="00D86CAB"/>
    <w:rsid w:val="00D875F5"/>
    <w:rsid w:val="00D87C2C"/>
    <w:rsid w:val="00D90BF5"/>
    <w:rsid w:val="00D928A4"/>
    <w:rsid w:val="00D940FE"/>
    <w:rsid w:val="00D958A8"/>
    <w:rsid w:val="00D96DBA"/>
    <w:rsid w:val="00DA038E"/>
    <w:rsid w:val="00DA11E4"/>
    <w:rsid w:val="00DA1A96"/>
    <w:rsid w:val="00DA2C2B"/>
    <w:rsid w:val="00DA3F00"/>
    <w:rsid w:val="00DA4CBE"/>
    <w:rsid w:val="00DA602F"/>
    <w:rsid w:val="00DA6EA0"/>
    <w:rsid w:val="00DA7BD4"/>
    <w:rsid w:val="00DB025E"/>
    <w:rsid w:val="00DB1018"/>
    <w:rsid w:val="00DB1155"/>
    <w:rsid w:val="00DB1D89"/>
    <w:rsid w:val="00DB1E69"/>
    <w:rsid w:val="00DB24D1"/>
    <w:rsid w:val="00DB3150"/>
    <w:rsid w:val="00DB3C8C"/>
    <w:rsid w:val="00DB4A09"/>
    <w:rsid w:val="00DB7984"/>
    <w:rsid w:val="00DC051A"/>
    <w:rsid w:val="00DC051F"/>
    <w:rsid w:val="00DC15E9"/>
    <w:rsid w:val="00DC29A5"/>
    <w:rsid w:val="00DC3E0C"/>
    <w:rsid w:val="00DC4998"/>
    <w:rsid w:val="00DC4E0C"/>
    <w:rsid w:val="00DC5827"/>
    <w:rsid w:val="00DC5B37"/>
    <w:rsid w:val="00DC5DCD"/>
    <w:rsid w:val="00DC684B"/>
    <w:rsid w:val="00DC7B69"/>
    <w:rsid w:val="00DD0086"/>
    <w:rsid w:val="00DD5605"/>
    <w:rsid w:val="00DE058C"/>
    <w:rsid w:val="00DE1F99"/>
    <w:rsid w:val="00DE2DC8"/>
    <w:rsid w:val="00DE45DB"/>
    <w:rsid w:val="00DE6DCB"/>
    <w:rsid w:val="00DE7222"/>
    <w:rsid w:val="00DF10EE"/>
    <w:rsid w:val="00DF26C7"/>
    <w:rsid w:val="00DF2B82"/>
    <w:rsid w:val="00DF2F93"/>
    <w:rsid w:val="00DF3434"/>
    <w:rsid w:val="00DF39F7"/>
    <w:rsid w:val="00DF51CC"/>
    <w:rsid w:val="00DF58BC"/>
    <w:rsid w:val="00DF5EAB"/>
    <w:rsid w:val="00DF7797"/>
    <w:rsid w:val="00E00626"/>
    <w:rsid w:val="00E06BC2"/>
    <w:rsid w:val="00E10350"/>
    <w:rsid w:val="00E11755"/>
    <w:rsid w:val="00E11A19"/>
    <w:rsid w:val="00E12040"/>
    <w:rsid w:val="00E129F5"/>
    <w:rsid w:val="00E168B6"/>
    <w:rsid w:val="00E17517"/>
    <w:rsid w:val="00E17ADF"/>
    <w:rsid w:val="00E21097"/>
    <w:rsid w:val="00E239FA"/>
    <w:rsid w:val="00E23BE8"/>
    <w:rsid w:val="00E25AF8"/>
    <w:rsid w:val="00E25E98"/>
    <w:rsid w:val="00E27D40"/>
    <w:rsid w:val="00E323FF"/>
    <w:rsid w:val="00E32EBA"/>
    <w:rsid w:val="00E34DF2"/>
    <w:rsid w:val="00E36041"/>
    <w:rsid w:val="00E40EE8"/>
    <w:rsid w:val="00E42BF7"/>
    <w:rsid w:val="00E43EB8"/>
    <w:rsid w:val="00E4633C"/>
    <w:rsid w:val="00E46450"/>
    <w:rsid w:val="00E47974"/>
    <w:rsid w:val="00E47F2F"/>
    <w:rsid w:val="00E47F7B"/>
    <w:rsid w:val="00E508DB"/>
    <w:rsid w:val="00E50C2D"/>
    <w:rsid w:val="00E50CC6"/>
    <w:rsid w:val="00E512D5"/>
    <w:rsid w:val="00E513C3"/>
    <w:rsid w:val="00E51B9D"/>
    <w:rsid w:val="00E52D04"/>
    <w:rsid w:val="00E542E1"/>
    <w:rsid w:val="00E54459"/>
    <w:rsid w:val="00E5601D"/>
    <w:rsid w:val="00E57B53"/>
    <w:rsid w:val="00E60E23"/>
    <w:rsid w:val="00E61BE7"/>
    <w:rsid w:val="00E62847"/>
    <w:rsid w:val="00E62B81"/>
    <w:rsid w:val="00E643F8"/>
    <w:rsid w:val="00E653D2"/>
    <w:rsid w:val="00E65410"/>
    <w:rsid w:val="00E664FC"/>
    <w:rsid w:val="00E66BA8"/>
    <w:rsid w:val="00E66BEB"/>
    <w:rsid w:val="00E676D5"/>
    <w:rsid w:val="00E72857"/>
    <w:rsid w:val="00E732ED"/>
    <w:rsid w:val="00E741A7"/>
    <w:rsid w:val="00E75564"/>
    <w:rsid w:val="00E75EB2"/>
    <w:rsid w:val="00E75F0C"/>
    <w:rsid w:val="00E7621E"/>
    <w:rsid w:val="00E764D9"/>
    <w:rsid w:val="00E81E7C"/>
    <w:rsid w:val="00E844A1"/>
    <w:rsid w:val="00E86E2F"/>
    <w:rsid w:val="00E86E96"/>
    <w:rsid w:val="00E9133A"/>
    <w:rsid w:val="00E93B40"/>
    <w:rsid w:val="00E94098"/>
    <w:rsid w:val="00E959CF"/>
    <w:rsid w:val="00EA1E6F"/>
    <w:rsid w:val="00EA321A"/>
    <w:rsid w:val="00EA44AB"/>
    <w:rsid w:val="00EA44FC"/>
    <w:rsid w:val="00EA45AE"/>
    <w:rsid w:val="00EA4E2B"/>
    <w:rsid w:val="00EA5DF5"/>
    <w:rsid w:val="00EA6729"/>
    <w:rsid w:val="00EA7346"/>
    <w:rsid w:val="00EA7D8E"/>
    <w:rsid w:val="00EB101B"/>
    <w:rsid w:val="00EB3EE1"/>
    <w:rsid w:val="00EB3FC6"/>
    <w:rsid w:val="00EB401B"/>
    <w:rsid w:val="00EB49FB"/>
    <w:rsid w:val="00EC083B"/>
    <w:rsid w:val="00EC08C4"/>
    <w:rsid w:val="00EC3080"/>
    <w:rsid w:val="00EC4565"/>
    <w:rsid w:val="00EC577B"/>
    <w:rsid w:val="00EC5842"/>
    <w:rsid w:val="00EC5B6A"/>
    <w:rsid w:val="00EC6D63"/>
    <w:rsid w:val="00EC77E2"/>
    <w:rsid w:val="00EC796A"/>
    <w:rsid w:val="00EC79C5"/>
    <w:rsid w:val="00EC79F7"/>
    <w:rsid w:val="00ED0022"/>
    <w:rsid w:val="00ED4874"/>
    <w:rsid w:val="00ED6A20"/>
    <w:rsid w:val="00EE3DD9"/>
    <w:rsid w:val="00EE442E"/>
    <w:rsid w:val="00EE5622"/>
    <w:rsid w:val="00EE5ACB"/>
    <w:rsid w:val="00EE61A6"/>
    <w:rsid w:val="00EE68BD"/>
    <w:rsid w:val="00EE713C"/>
    <w:rsid w:val="00EF082A"/>
    <w:rsid w:val="00EF1170"/>
    <w:rsid w:val="00EF1282"/>
    <w:rsid w:val="00EF1B6B"/>
    <w:rsid w:val="00EF1E38"/>
    <w:rsid w:val="00EF1FCC"/>
    <w:rsid w:val="00EF293C"/>
    <w:rsid w:val="00EF408B"/>
    <w:rsid w:val="00EF42D3"/>
    <w:rsid w:val="00EF54B6"/>
    <w:rsid w:val="00EF628E"/>
    <w:rsid w:val="00EF6E4A"/>
    <w:rsid w:val="00EF7364"/>
    <w:rsid w:val="00F00893"/>
    <w:rsid w:val="00F0123C"/>
    <w:rsid w:val="00F0204D"/>
    <w:rsid w:val="00F02BD2"/>
    <w:rsid w:val="00F03AA3"/>
    <w:rsid w:val="00F0471D"/>
    <w:rsid w:val="00F049F5"/>
    <w:rsid w:val="00F05786"/>
    <w:rsid w:val="00F06EC8"/>
    <w:rsid w:val="00F1046B"/>
    <w:rsid w:val="00F12585"/>
    <w:rsid w:val="00F145DA"/>
    <w:rsid w:val="00F14FEE"/>
    <w:rsid w:val="00F161D5"/>
    <w:rsid w:val="00F165B1"/>
    <w:rsid w:val="00F200C4"/>
    <w:rsid w:val="00F20D51"/>
    <w:rsid w:val="00F2178B"/>
    <w:rsid w:val="00F21C79"/>
    <w:rsid w:val="00F23AFE"/>
    <w:rsid w:val="00F23E42"/>
    <w:rsid w:val="00F2459A"/>
    <w:rsid w:val="00F253B0"/>
    <w:rsid w:val="00F27A6D"/>
    <w:rsid w:val="00F300A9"/>
    <w:rsid w:val="00F3116F"/>
    <w:rsid w:val="00F3175C"/>
    <w:rsid w:val="00F3190F"/>
    <w:rsid w:val="00F32776"/>
    <w:rsid w:val="00F33315"/>
    <w:rsid w:val="00F3395E"/>
    <w:rsid w:val="00F358C6"/>
    <w:rsid w:val="00F35B26"/>
    <w:rsid w:val="00F36AB0"/>
    <w:rsid w:val="00F37C4F"/>
    <w:rsid w:val="00F4092A"/>
    <w:rsid w:val="00F416C0"/>
    <w:rsid w:val="00F41BC8"/>
    <w:rsid w:val="00F43581"/>
    <w:rsid w:val="00F45429"/>
    <w:rsid w:val="00F47540"/>
    <w:rsid w:val="00F47F28"/>
    <w:rsid w:val="00F536A3"/>
    <w:rsid w:val="00F54940"/>
    <w:rsid w:val="00F5604D"/>
    <w:rsid w:val="00F56901"/>
    <w:rsid w:val="00F57317"/>
    <w:rsid w:val="00F57751"/>
    <w:rsid w:val="00F6083B"/>
    <w:rsid w:val="00F61E59"/>
    <w:rsid w:val="00F62ADC"/>
    <w:rsid w:val="00F6323E"/>
    <w:rsid w:val="00F64AA6"/>
    <w:rsid w:val="00F65F4A"/>
    <w:rsid w:val="00F66AC7"/>
    <w:rsid w:val="00F67A2B"/>
    <w:rsid w:val="00F71A8D"/>
    <w:rsid w:val="00F71B3E"/>
    <w:rsid w:val="00F7252A"/>
    <w:rsid w:val="00F73FA9"/>
    <w:rsid w:val="00F756DD"/>
    <w:rsid w:val="00F8016B"/>
    <w:rsid w:val="00F80577"/>
    <w:rsid w:val="00F80B72"/>
    <w:rsid w:val="00F81194"/>
    <w:rsid w:val="00F814DB"/>
    <w:rsid w:val="00F829CA"/>
    <w:rsid w:val="00F832C1"/>
    <w:rsid w:val="00F83919"/>
    <w:rsid w:val="00F86429"/>
    <w:rsid w:val="00F86B92"/>
    <w:rsid w:val="00F8723B"/>
    <w:rsid w:val="00F87A4F"/>
    <w:rsid w:val="00F91715"/>
    <w:rsid w:val="00F92CA2"/>
    <w:rsid w:val="00F93181"/>
    <w:rsid w:val="00F9342A"/>
    <w:rsid w:val="00F940DB"/>
    <w:rsid w:val="00F9427C"/>
    <w:rsid w:val="00F94CF5"/>
    <w:rsid w:val="00F95569"/>
    <w:rsid w:val="00F9749D"/>
    <w:rsid w:val="00FA1087"/>
    <w:rsid w:val="00FA14BA"/>
    <w:rsid w:val="00FA24D8"/>
    <w:rsid w:val="00FA27AD"/>
    <w:rsid w:val="00FA4B84"/>
    <w:rsid w:val="00FA6813"/>
    <w:rsid w:val="00FA7F80"/>
    <w:rsid w:val="00FB0A2C"/>
    <w:rsid w:val="00FB2656"/>
    <w:rsid w:val="00FB6B73"/>
    <w:rsid w:val="00FB6C24"/>
    <w:rsid w:val="00FB7B76"/>
    <w:rsid w:val="00FB7DCC"/>
    <w:rsid w:val="00FC1D59"/>
    <w:rsid w:val="00FC279C"/>
    <w:rsid w:val="00FC2CE4"/>
    <w:rsid w:val="00FC4CDA"/>
    <w:rsid w:val="00FC547A"/>
    <w:rsid w:val="00FC6907"/>
    <w:rsid w:val="00FC6C62"/>
    <w:rsid w:val="00FC71C1"/>
    <w:rsid w:val="00FD1149"/>
    <w:rsid w:val="00FD16BA"/>
    <w:rsid w:val="00FD219F"/>
    <w:rsid w:val="00FD2262"/>
    <w:rsid w:val="00FD2B00"/>
    <w:rsid w:val="00FD43A7"/>
    <w:rsid w:val="00FE0173"/>
    <w:rsid w:val="00FE08CB"/>
    <w:rsid w:val="00FE12B6"/>
    <w:rsid w:val="00FE380A"/>
    <w:rsid w:val="00FE3EA9"/>
    <w:rsid w:val="00FE56D5"/>
    <w:rsid w:val="00FF0E69"/>
    <w:rsid w:val="00FF1FF1"/>
    <w:rsid w:val="00FF2329"/>
    <w:rsid w:val="00FF487D"/>
    <w:rsid w:val="00FF6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F0DE7"/>
  <w15:docId w15:val="{A9B8CA38-4349-4C82-82DD-EB454AE0C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A64"/>
    <w:pPr>
      <w:spacing w:before="60" w:after="60"/>
    </w:pPr>
    <w:rPr>
      <w:rFonts w:ascii="Arial" w:eastAsia="Arial MT" w:hAnsi="Arial" w:cs="Arial MT"/>
      <w:sz w:val="24"/>
    </w:rPr>
  </w:style>
  <w:style w:type="paragraph" w:styleId="Heading1">
    <w:name w:val="heading 1"/>
    <w:basedOn w:val="ListParagraph"/>
    <w:next w:val="Normal"/>
    <w:link w:val="Heading1Char"/>
    <w:uiPriority w:val="9"/>
    <w:qFormat/>
    <w:rsid w:val="00E7621E"/>
    <w:pPr>
      <w:widowControl/>
      <w:numPr>
        <w:numId w:val="1"/>
      </w:numPr>
      <w:autoSpaceDE/>
      <w:autoSpaceDN/>
      <w:spacing w:before="100" w:beforeAutospacing="1" w:after="240"/>
      <w:outlineLvl w:val="0"/>
    </w:pPr>
    <w:rPr>
      <w:rFonts w:eastAsia="Times New Roman" w:cs="Arial"/>
      <w:b/>
      <w:bCs/>
      <w:color w:val="76923C" w:themeColor="accent3" w:themeShade="BF"/>
      <w:sz w:val="28"/>
      <w:szCs w:val="24"/>
      <w:lang w:val="en-GB" w:eastAsia="en-GB"/>
    </w:rPr>
  </w:style>
  <w:style w:type="paragraph" w:styleId="Heading2">
    <w:name w:val="heading 2"/>
    <w:basedOn w:val="ListParagraph"/>
    <w:next w:val="Normal"/>
    <w:link w:val="Heading2Char"/>
    <w:uiPriority w:val="9"/>
    <w:unhideWhenUsed/>
    <w:qFormat/>
    <w:rsid w:val="00D233F5"/>
    <w:pPr>
      <w:widowControl/>
      <w:numPr>
        <w:ilvl w:val="1"/>
        <w:numId w:val="1"/>
      </w:numPr>
      <w:autoSpaceDE/>
      <w:autoSpaceDN/>
      <w:spacing w:before="100" w:beforeAutospacing="1" w:after="240"/>
      <w:ind w:left="567" w:hanging="567"/>
      <w:outlineLvl w:val="1"/>
    </w:pPr>
    <w:rPr>
      <w:rFonts w:eastAsia="Times New Roman" w:cs="Arial"/>
      <w:b/>
      <w:szCs w:val="24"/>
      <w:lang w:val="en-GB" w:eastAsia="en-GB"/>
    </w:rPr>
  </w:style>
  <w:style w:type="paragraph" w:styleId="Heading3">
    <w:name w:val="heading 3"/>
    <w:basedOn w:val="Normal"/>
    <w:next w:val="Normal"/>
    <w:link w:val="Heading3Char"/>
    <w:uiPriority w:val="9"/>
    <w:semiHidden/>
    <w:unhideWhenUsed/>
    <w:qFormat/>
    <w:rsid w:val="00BC5AAB"/>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5">
    <w:name w:val="heading 5"/>
    <w:basedOn w:val="Normal"/>
    <w:next w:val="Normal"/>
    <w:link w:val="Heading5Char"/>
    <w:uiPriority w:val="9"/>
    <w:semiHidden/>
    <w:unhideWhenUsed/>
    <w:qFormat/>
    <w:rsid w:val="00370C4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D7727"/>
    <w:pPr>
      <w:spacing w:before="0" w:after="240"/>
    </w:pPr>
    <w:rPr>
      <w:lang w:val="en-GB" w:eastAsia="en-GB"/>
    </w:rPr>
  </w:style>
  <w:style w:type="paragraph" w:styleId="Title">
    <w:name w:val="Title"/>
    <w:basedOn w:val="Normal"/>
    <w:uiPriority w:val="10"/>
    <w:qFormat/>
    <w:rsid w:val="00BB1571"/>
    <w:pPr>
      <w:spacing w:before="69"/>
      <w:ind w:left="283"/>
    </w:pPr>
    <w:rPr>
      <w:rFonts w:eastAsia="Arial" w:cs="Arial"/>
      <w:b/>
      <w:bCs/>
      <w:sz w:val="36"/>
      <w:szCs w:val="24"/>
    </w:rPr>
  </w:style>
  <w:style w:type="paragraph" w:styleId="ListParagraph">
    <w:name w:val="List Paragraph"/>
    <w:basedOn w:val="Normal"/>
    <w:uiPriority w:val="34"/>
    <w:qFormat/>
    <w:pPr>
      <w:ind w:left="1003" w:right="135" w:hanging="360"/>
      <w:jc w:val="both"/>
    </w:pPr>
  </w:style>
  <w:style w:type="paragraph" w:customStyle="1" w:styleId="TableParagraph">
    <w:name w:val="Table Paragraph"/>
    <w:basedOn w:val="Normal"/>
    <w:uiPriority w:val="1"/>
    <w:qFormat/>
    <w:pPr>
      <w:spacing w:line="250" w:lineRule="exact"/>
      <w:ind w:left="107"/>
    </w:pPr>
  </w:style>
  <w:style w:type="paragraph" w:styleId="NormalWeb">
    <w:name w:val="Normal (Web)"/>
    <w:basedOn w:val="Normal"/>
    <w:uiPriority w:val="99"/>
    <w:unhideWhenUsed/>
    <w:rsid w:val="002C2FEE"/>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Strong">
    <w:name w:val="Strong"/>
    <w:basedOn w:val="DefaultParagraphFont"/>
    <w:uiPriority w:val="22"/>
    <w:qFormat/>
    <w:rsid w:val="002C2FEE"/>
    <w:rPr>
      <w:b/>
      <w:bCs/>
    </w:rPr>
  </w:style>
  <w:style w:type="character" w:customStyle="1" w:styleId="Heading1Char">
    <w:name w:val="Heading 1 Char"/>
    <w:basedOn w:val="DefaultParagraphFont"/>
    <w:link w:val="Heading1"/>
    <w:uiPriority w:val="9"/>
    <w:rsid w:val="00E7621E"/>
    <w:rPr>
      <w:rFonts w:ascii="Arial" w:eastAsia="Times New Roman" w:hAnsi="Arial" w:cs="Arial"/>
      <w:b/>
      <w:bCs/>
      <w:color w:val="76923C" w:themeColor="accent3" w:themeShade="BF"/>
      <w:sz w:val="28"/>
      <w:szCs w:val="24"/>
      <w:lang w:val="en-GB" w:eastAsia="en-GB"/>
    </w:rPr>
  </w:style>
  <w:style w:type="character" w:customStyle="1" w:styleId="Heading2Char">
    <w:name w:val="Heading 2 Char"/>
    <w:basedOn w:val="DefaultParagraphFont"/>
    <w:link w:val="Heading2"/>
    <w:uiPriority w:val="9"/>
    <w:rsid w:val="00D233F5"/>
    <w:rPr>
      <w:rFonts w:ascii="Arial" w:eastAsia="Times New Roman" w:hAnsi="Arial" w:cs="Arial"/>
      <w:b/>
      <w:sz w:val="24"/>
      <w:szCs w:val="24"/>
      <w:lang w:val="en-GB" w:eastAsia="en-GB"/>
    </w:rPr>
  </w:style>
  <w:style w:type="character" w:styleId="Hyperlink">
    <w:name w:val="Hyperlink"/>
    <w:basedOn w:val="DefaultParagraphFont"/>
    <w:uiPriority w:val="99"/>
    <w:unhideWhenUsed/>
    <w:rsid w:val="00677951"/>
    <w:rPr>
      <w:color w:val="0000FF" w:themeColor="hyperlink"/>
      <w:u w:val="single"/>
    </w:rPr>
  </w:style>
  <w:style w:type="character" w:styleId="UnresolvedMention">
    <w:name w:val="Unresolved Mention"/>
    <w:basedOn w:val="DefaultParagraphFont"/>
    <w:uiPriority w:val="99"/>
    <w:semiHidden/>
    <w:unhideWhenUsed/>
    <w:rsid w:val="00677951"/>
    <w:rPr>
      <w:color w:val="605E5C"/>
      <w:shd w:val="clear" w:color="auto" w:fill="E1DFDD"/>
    </w:rPr>
  </w:style>
  <w:style w:type="paragraph" w:styleId="FootnoteText">
    <w:name w:val="footnote text"/>
    <w:basedOn w:val="Normal"/>
    <w:link w:val="FootnoteTextChar"/>
    <w:uiPriority w:val="99"/>
    <w:unhideWhenUsed/>
    <w:rsid w:val="00543775"/>
    <w:pPr>
      <w:widowControl/>
      <w:autoSpaceDE/>
      <w:autoSpaceDN/>
      <w:ind w:left="567"/>
      <w:jc w:val="both"/>
    </w:pPr>
    <w:rPr>
      <w:rFonts w:eastAsiaTheme="minorEastAsia" w:cstheme="minorBidi"/>
      <w:sz w:val="20"/>
      <w:szCs w:val="20"/>
      <w:lang w:val="en-GB"/>
    </w:rPr>
  </w:style>
  <w:style w:type="character" w:customStyle="1" w:styleId="FootnoteTextChar">
    <w:name w:val="Footnote Text Char"/>
    <w:basedOn w:val="DefaultParagraphFont"/>
    <w:link w:val="FootnoteText"/>
    <w:uiPriority w:val="99"/>
    <w:rsid w:val="00543775"/>
    <w:rPr>
      <w:rFonts w:ascii="Arial" w:eastAsiaTheme="minorEastAsia" w:hAnsi="Arial"/>
      <w:sz w:val="20"/>
      <w:szCs w:val="20"/>
      <w:lang w:val="en-GB"/>
    </w:rPr>
  </w:style>
  <w:style w:type="character" w:styleId="FootnoteReference">
    <w:name w:val="footnote reference"/>
    <w:basedOn w:val="DefaultParagraphFont"/>
    <w:uiPriority w:val="99"/>
    <w:semiHidden/>
    <w:unhideWhenUsed/>
    <w:rsid w:val="00543775"/>
    <w:rPr>
      <w:vertAlign w:val="superscript"/>
    </w:rPr>
  </w:style>
  <w:style w:type="numbering" w:customStyle="1" w:styleId="Style2">
    <w:name w:val="Style2"/>
    <w:uiPriority w:val="99"/>
    <w:rsid w:val="00543775"/>
    <w:pPr>
      <w:numPr>
        <w:numId w:val="2"/>
      </w:numPr>
    </w:pPr>
  </w:style>
  <w:style w:type="character" w:styleId="CommentReference">
    <w:name w:val="annotation reference"/>
    <w:basedOn w:val="DefaultParagraphFont"/>
    <w:uiPriority w:val="99"/>
    <w:semiHidden/>
    <w:unhideWhenUsed/>
    <w:rsid w:val="00543775"/>
    <w:rPr>
      <w:sz w:val="16"/>
      <w:szCs w:val="16"/>
    </w:rPr>
  </w:style>
  <w:style w:type="paragraph" w:styleId="CommentText">
    <w:name w:val="annotation text"/>
    <w:basedOn w:val="Normal"/>
    <w:link w:val="CommentTextChar"/>
    <w:uiPriority w:val="99"/>
    <w:unhideWhenUsed/>
    <w:rsid w:val="00D2459F"/>
    <w:rPr>
      <w:sz w:val="20"/>
      <w:szCs w:val="20"/>
    </w:rPr>
  </w:style>
  <w:style w:type="character" w:customStyle="1" w:styleId="CommentTextChar">
    <w:name w:val="Comment Text Char"/>
    <w:basedOn w:val="DefaultParagraphFont"/>
    <w:link w:val="CommentText"/>
    <w:uiPriority w:val="99"/>
    <w:rsid w:val="00D2459F"/>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D2459F"/>
    <w:rPr>
      <w:b/>
      <w:bCs/>
    </w:rPr>
  </w:style>
  <w:style w:type="character" w:customStyle="1" w:styleId="CommentSubjectChar">
    <w:name w:val="Comment Subject Char"/>
    <w:basedOn w:val="CommentTextChar"/>
    <w:link w:val="CommentSubject"/>
    <w:uiPriority w:val="99"/>
    <w:semiHidden/>
    <w:rsid w:val="00D2459F"/>
    <w:rPr>
      <w:rFonts w:ascii="Arial MT" w:eastAsia="Arial MT" w:hAnsi="Arial MT" w:cs="Arial MT"/>
      <w:b/>
      <w:bCs/>
      <w:sz w:val="20"/>
      <w:szCs w:val="20"/>
    </w:rPr>
  </w:style>
  <w:style w:type="character" w:customStyle="1" w:styleId="Heading3Char">
    <w:name w:val="Heading 3 Char"/>
    <w:basedOn w:val="DefaultParagraphFont"/>
    <w:link w:val="Heading3"/>
    <w:uiPriority w:val="9"/>
    <w:semiHidden/>
    <w:rsid w:val="00BC5AAB"/>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9D7727"/>
    <w:rPr>
      <w:rFonts w:ascii="Arial" w:eastAsia="Arial MT" w:hAnsi="Arial" w:cs="Arial MT"/>
      <w:sz w:val="24"/>
      <w:lang w:val="en-GB" w:eastAsia="en-GB"/>
    </w:rPr>
  </w:style>
  <w:style w:type="paragraph" w:styleId="NoSpacing">
    <w:name w:val="No Spacing"/>
    <w:uiPriority w:val="1"/>
    <w:qFormat/>
    <w:rsid w:val="00094CD9"/>
    <w:rPr>
      <w:rFonts w:ascii="Arial MT" w:eastAsia="Arial MT" w:hAnsi="Arial MT" w:cs="Arial MT"/>
    </w:rPr>
  </w:style>
  <w:style w:type="paragraph" w:styleId="Header">
    <w:name w:val="header"/>
    <w:basedOn w:val="Normal"/>
    <w:link w:val="HeaderChar"/>
    <w:uiPriority w:val="99"/>
    <w:unhideWhenUsed/>
    <w:rsid w:val="00056085"/>
    <w:pPr>
      <w:tabs>
        <w:tab w:val="center" w:pos="4513"/>
        <w:tab w:val="right" w:pos="9026"/>
      </w:tabs>
      <w:spacing w:before="0"/>
    </w:pPr>
  </w:style>
  <w:style w:type="character" w:customStyle="1" w:styleId="HeaderChar">
    <w:name w:val="Header Char"/>
    <w:basedOn w:val="DefaultParagraphFont"/>
    <w:link w:val="Header"/>
    <w:uiPriority w:val="99"/>
    <w:rsid w:val="00056085"/>
    <w:rPr>
      <w:rFonts w:ascii="Arial" w:eastAsia="Arial MT" w:hAnsi="Arial" w:cs="Arial MT"/>
      <w:sz w:val="24"/>
    </w:rPr>
  </w:style>
  <w:style w:type="paragraph" w:styleId="Footer">
    <w:name w:val="footer"/>
    <w:basedOn w:val="Normal"/>
    <w:link w:val="FooterChar"/>
    <w:uiPriority w:val="99"/>
    <w:unhideWhenUsed/>
    <w:rsid w:val="00056085"/>
    <w:pPr>
      <w:tabs>
        <w:tab w:val="center" w:pos="4513"/>
        <w:tab w:val="right" w:pos="9026"/>
      </w:tabs>
      <w:spacing w:before="0"/>
    </w:pPr>
  </w:style>
  <w:style w:type="character" w:customStyle="1" w:styleId="FooterChar">
    <w:name w:val="Footer Char"/>
    <w:basedOn w:val="DefaultParagraphFont"/>
    <w:link w:val="Footer"/>
    <w:uiPriority w:val="99"/>
    <w:rsid w:val="00056085"/>
    <w:rPr>
      <w:rFonts w:ascii="Arial" w:eastAsia="Arial MT" w:hAnsi="Arial" w:cs="Arial MT"/>
      <w:sz w:val="24"/>
    </w:rPr>
  </w:style>
  <w:style w:type="paragraph" w:styleId="TOCHeading">
    <w:name w:val="TOC Heading"/>
    <w:basedOn w:val="Heading1"/>
    <w:next w:val="Normal"/>
    <w:uiPriority w:val="39"/>
    <w:unhideWhenUsed/>
    <w:qFormat/>
    <w:rsid w:val="00353CAD"/>
    <w:pPr>
      <w:keepNext/>
      <w:keepLines/>
      <w:numPr>
        <w:numId w:val="0"/>
      </w:numPr>
      <w:spacing w:before="240" w:beforeAutospacing="0" w:after="0" w:line="259" w:lineRule="auto"/>
      <w:ind w:right="0"/>
      <w:jc w:val="left"/>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TOC1">
    <w:name w:val="toc 1"/>
    <w:basedOn w:val="Normal"/>
    <w:next w:val="Normal"/>
    <w:autoRedefine/>
    <w:uiPriority w:val="39"/>
    <w:unhideWhenUsed/>
    <w:rsid w:val="00353CAD"/>
    <w:pPr>
      <w:spacing w:after="100"/>
    </w:pPr>
  </w:style>
  <w:style w:type="paragraph" w:styleId="TOC2">
    <w:name w:val="toc 2"/>
    <w:basedOn w:val="Normal"/>
    <w:next w:val="Normal"/>
    <w:autoRedefine/>
    <w:uiPriority w:val="39"/>
    <w:unhideWhenUsed/>
    <w:rsid w:val="00353CAD"/>
    <w:pPr>
      <w:spacing w:after="100"/>
      <w:ind w:left="240"/>
    </w:pPr>
  </w:style>
  <w:style w:type="paragraph" w:styleId="Revision">
    <w:name w:val="Revision"/>
    <w:hidden/>
    <w:uiPriority w:val="99"/>
    <w:semiHidden/>
    <w:rsid w:val="00C64B0E"/>
    <w:pPr>
      <w:widowControl/>
      <w:autoSpaceDE/>
      <w:autoSpaceDN/>
    </w:pPr>
    <w:rPr>
      <w:rFonts w:ascii="Arial" w:eastAsia="Arial MT" w:hAnsi="Arial" w:cs="Arial MT"/>
      <w:sz w:val="24"/>
    </w:rPr>
  </w:style>
  <w:style w:type="character" w:styleId="FollowedHyperlink">
    <w:name w:val="FollowedHyperlink"/>
    <w:basedOn w:val="DefaultParagraphFont"/>
    <w:uiPriority w:val="99"/>
    <w:semiHidden/>
    <w:unhideWhenUsed/>
    <w:rsid w:val="00EC3080"/>
    <w:rPr>
      <w:color w:val="800080" w:themeColor="followedHyperlink"/>
      <w:u w:val="single"/>
    </w:rPr>
  </w:style>
  <w:style w:type="character" w:customStyle="1" w:styleId="cf01">
    <w:name w:val="cf01"/>
    <w:basedOn w:val="DefaultParagraphFont"/>
    <w:rsid w:val="00201734"/>
    <w:rPr>
      <w:rFonts w:ascii="Segoe UI" w:hAnsi="Segoe UI" w:cs="Segoe UI" w:hint="default"/>
      <w:sz w:val="18"/>
      <w:szCs w:val="18"/>
    </w:rPr>
  </w:style>
  <w:style w:type="character" w:customStyle="1" w:styleId="Heading5Char">
    <w:name w:val="Heading 5 Char"/>
    <w:basedOn w:val="DefaultParagraphFont"/>
    <w:link w:val="Heading5"/>
    <w:uiPriority w:val="9"/>
    <w:semiHidden/>
    <w:rsid w:val="00370C43"/>
    <w:rPr>
      <w:rFonts w:asciiTheme="majorHAnsi" w:eastAsiaTheme="majorEastAsia" w:hAnsiTheme="majorHAnsi" w:cstheme="majorBidi"/>
      <w:color w:val="365F91" w:themeColor="accent1" w:themeShade="BF"/>
      <w:sz w:val="24"/>
    </w:rPr>
  </w:style>
  <w:style w:type="paragraph" w:customStyle="1" w:styleId="pf0">
    <w:name w:val="pf0"/>
    <w:basedOn w:val="Normal"/>
    <w:rsid w:val="00AE4933"/>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table" w:styleId="TableGrid">
    <w:name w:val="Table Grid"/>
    <w:basedOn w:val="TableNormal"/>
    <w:uiPriority w:val="39"/>
    <w:rsid w:val="008A01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E653D2"/>
    <w:pPr>
      <w:numPr>
        <w:ilvl w:val="1"/>
      </w:numPr>
      <w:spacing w:after="160"/>
    </w:pPr>
    <w:rPr>
      <w:rFonts w:eastAsiaTheme="minorEastAsia" w:cstheme="minorBidi"/>
      <w:b/>
      <w:color w:val="595959" w:themeColor="text1" w:themeTint="A6"/>
      <w:spacing w:val="15"/>
      <w:sz w:val="28"/>
    </w:rPr>
  </w:style>
  <w:style w:type="character" w:customStyle="1" w:styleId="SubtitleChar">
    <w:name w:val="Subtitle Char"/>
    <w:basedOn w:val="DefaultParagraphFont"/>
    <w:link w:val="Subtitle"/>
    <w:uiPriority w:val="11"/>
    <w:rsid w:val="00E653D2"/>
    <w:rPr>
      <w:rFonts w:ascii="Arial" w:eastAsiaTheme="minorEastAsia" w:hAnsi="Arial"/>
      <w:b/>
      <w:color w:val="595959" w:themeColor="text1" w:themeTint="A6"/>
      <w:spacing w:val="15"/>
      <w:sz w:val="28"/>
    </w:rPr>
  </w:style>
  <w:style w:type="paragraph" w:customStyle="1" w:styleId="isselectedend">
    <w:name w:val="isselectedend"/>
    <w:basedOn w:val="Normal"/>
    <w:rsid w:val="00CF1766"/>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079">
      <w:bodyDiv w:val="1"/>
      <w:marLeft w:val="0"/>
      <w:marRight w:val="0"/>
      <w:marTop w:val="0"/>
      <w:marBottom w:val="0"/>
      <w:divBdr>
        <w:top w:val="none" w:sz="0" w:space="0" w:color="auto"/>
        <w:left w:val="none" w:sz="0" w:space="0" w:color="auto"/>
        <w:bottom w:val="none" w:sz="0" w:space="0" w:color="auto"/>
        <w:right w:val="none" w:sz="0" w:space="0" w:color="auto"/>
      </w:divBdr>
    </w:div>
    <w:div w:id="35282452">
      <w:bodyDiv w:val="1"/>
      <w:marLeft w:val="0"/>
      <w:marRight w:val="0"/>
      <w:marTop w:val="0"/>
      <w:marBottom w:val="0"/>
      <w:divBdr>
        <w:top w:val="none" w:sz="0" w:space="0" w:color="auto"/>
        <w:left w:val="none" w:sz="0" w:space="0" w:color="auto"/>
        <w:bottom w:val="none" w:sz="0" w:space="0" w:color="auto"/>
        <w:right w:val="none" w:sz="0" w:space="0" w:color="auto"/>
      </w:divBdr>
      <w:divsChild>
        <w:div w:id="1497186350">
          <w:marLeft w:val="0"/>
          <w:marRight w:val="0"/>
          <w:marTop w:val="0"/>
          <w:marBottom w:val="0"/>
          <w:divBdr>
            <w:top w:val="none" w:sz="0" w:space="0" w:color="auto"/>
            <w:left w:val="none" w:sz="0" w:space="0" w:color="auto"/>
            <w:bottom w:val="none" w:sz="0" w:space="0" w:color="auto"/>
            <w:right w:val="none" w:sz="0" w:space="0" w:color="auto"/>
          </w:divBdr>
        </w:div>
        <w:div w:id="1384645492">
          <w:marLeft w:val="0"/>
          <w:marRight w:val="0"/>
          <w:marTop w:val="0"/>
          <w:marBottom w:val="0"/>
          <w:divBdr>
            <w:top w:val="none" w:sz="0" w:space="0" w:color="auto"/>
            <w:left w:val="none" w:sz="0" w:space="0" w:color="auto"/>
            <w:bottom w:val="none" w:sz="0" w:space="0" w:color="auto"/>
            <w:right w:val="none" w:sz="0" w:space="0" w:color="auto"/>
          </w:divBdr>
        </w:div>
        <w:div w:id="1978559047">
          <w:marLeft w:val="0"/>
          <w:marRight w:val="0"/>
          <w:marTop w:val="0"/>
          <w:marBottom w:val="0"/>
          <w:divBdr>
            <w:top w:val="none" w:sz="0" w:space="0" w:color="auto"/>
            <w:left w:val="none" w:sz="0" w:space="0" w:color="auto"/>
            <w:bottom w:val="none" w:sz="0" w:space="0" w:color="auto"/>
            <w:right w:val="none" w:sz="0" w:space="0" w:color="auto"/>
          </w:divBdr>
        </w:div>
        <w:div w:id="1595895789">
          <w:marLeft w:val="0"/>
          <w:marRight w:val="0"/>
          <w:marTop w:val="0"/>
          <w:marBottom w:val="0"/>
          <w:divBdr>
            <w:top w:val="none" w:sz="0" w:space="0" w:color="auto"/>
            <w:left w:val="none" w:sz="0" w:space="0" w:color="auto"/>
            <w:bottom w:val="none" w:sz="0" w:space="0" w:color="auto"/>
            <w:right w:val="none" w:sz="0" w:space="0" w:color="auto"/>
          </w:divBdr>
        </w:div>
      </w:divsChild>
    </w:div>
    <w:div w:id="40443217">
      <w:bodyDiv w:val="1"/>
      <w:marLeft w:val="0"/>
      <w:marRight w:val="0"/>
      <w:marTop w:val="0"/>
      <w:marBottom w:val="0"/>
      <w:divBdr>
        <w:top w:val="none" w:sz="0" w:space="0" w:color="auto"/>
        <w:left w:val="none" w:sz="0" w:space="0" w:color="auto"/>
        <w:bottom w:val="none" w:sz="0" w:space="0" w:color="auto"/>
        <w:right w:val="none" w:sz="0" w:space="0" w:color="auto"/>
      </w:divBdr>
    </w:div>
    <w:div w:id="92626152">
      <w:bodyDiv w:val="1"/>
      <w:marLeft w:val="0"/>
      <w:marRight w:val="0"/>
      <w:marTop w:val="0"/>
      <w:marBottom w:val="0"/>
      <w:divBdr>
        <w:top w:val="none" w:sz="0" w:space="0" w:color="auto"/>
        <w:left w:val="none" w:sz="0" w:space="0" w:color="auto"/>
        <w:bottom w:val="none" w:sz="0" w:space="0" w:color="auto"/>
        <w:right w:val="none" w:sz="0" w:space="0" w:color="auto"/>
      </w:divBdr>
      <w:divsChild>
        <w:div w:id="924801493">
          <w:marLeft w:val="0"/>
          <w:marRight w:val="0"/>
          <w:marTop w:val="0"/>
          <w:marBottom w:val="0"/>
          <w:divBdr>
            <w:top w:val="none" w:sz="0" w:space="0" w:color="auto"/>
            <w:left w:val="none" w:sz="0" w:space="0" w:color="auto"/>
            <w:bottom w:val="none" w:sz="0" w:space="0" w:color="auto"/>
            <w:right w:val="none" w:sz="0" w:space="0" w:color="auto"/>
          </w:divBdr>
        </w:div>
      </w:divsChild>
    </w:div>
    <w:div w:id="122038236">
      <w:bodyDiv w:val="1"/>
      <w:marLeft w:val="0"/>
      <w:marRight w:val="0"/>
      <w:marTop w:val="0"/>
      <w:marBottom w:val="0"/>
      <w:divBdr>
        <w:top w:val="none" w:sz="0" w:space="0" w:color="auto"/>
        <w:left w:val="none" w:sz="0" w:space="0" w:color="auto"/>
        <w:bottom w:val="none" w:sz="0" w:space="0" w:color="auto"/>
        <w:right w:val="none" w:sz="0" w:space="0" w:color="auto"/>
      </w:divBdr>
    </w:div>
    <w:div w:id="145824371">
      <w:bodyDiv w:val="1"/>
      <w:marLeft w:val="0"/>
      <w:marRight w:val="0"/>
      <w:marTop w:val="0"/>
      <w:marBottom w:val="0"/>
      <w:divBdr>
        <w:top w:val="none" w:sz="0" w:space="0" w:color="auto"/>
        <w:left w:val="none" w:sz="0" w:space="0" w:color="auto"/>
        <w:bottom w:val="none" w:sz="0" w:space="0" w:color="auto"/>
        <w:right w:val="none" w:sz="0" w:space="0" w:color="auto"/>
      </w:divBdr>
    </w:div>
    <w:div w:id="171333819">
      <w:bodyDiv w:val="1"/>
      <w:marLeft w:val="0"/>
      <w:marRight w:val="0"/>
      <w:marTop w:val="0"/>
      <w:marBottom w:val="0"/>
      <w:divBdr>
        <w:top w:val="none" w:sz="0" w:space="0" w:color="auto"/>
        <w:left w:val="none" w:sz="0" w:space="0" w:color="auto"/>
        <w:bottom w:val="none" w:sz="0" w:space="0" w:color="auto"/>
        <w:right w:val="none" w:sz="0" w:space="0" w:color="auto"/>
      </w:divBdr>
    </w:div>
    <w:div w:id="187107042">
      <w:bodyDiv w:val="1"/>
      <w:marLeft w:val="0"/>
      <w:marRight w:val="0"/>
      <w:marTop w:val="0"/>
      <w:marBottom w:val="0"/>
      <w:divBdr>
        <w:top w:val="none" w:sz="0" w:space="0" w:color="auto"/>
        <w:left w:val="none" w:sz="0" w:space="0" w:color="auto"/>
        <w:bottom w:val="none" w:sz="0" w:space="0" w:color="auto"/>
        <w:right w:val="none" w:sz="0" w:space="0" w:color="auto"/>
      </w:divBdr>
    </w:div>
    <w:div w:id="211427322">
      <w:bodyDiv w:val="1"/>
      <w:marLeft w:val="0"/>
      <w:marRight w:val="0"/>
      <w:marTop w:val="0"/>
      <w:marBottom w:val="0"/>
      <w:divBdr>
        <w:top w:val="none" w:sz="0" w:space="0" w:color="auto"/>
        <w:left w:val="none" w:sz="0" w:space="0" w:color="auto"/>
        <w:bottom w:val="none" w:sz="0" w:space="0" w:color="auto"/>
        <w:right w:val="none" w:sz="0" w:space="0" w:color="auto"/>
      </w:divBdr>
    </w:div>
    <w:div w:id="220411421">
      <w:bodyDiv w:val="1"/>
      <w:marLeft w:val="0"/>
      <w:marRight w:val="0"/>
      <w:marTop w:val="0"/>
      <w:marBottom w:val="0"/>
      <w:divBdr>
        <w:top w:val="none" w:sz="0" w:space="0" w:color="auto"/>
        <w:left w:val="none" w:sz="0" w:space="0" w:color="auto"/>
        <w:bottom w:val="none" w:sz="0" w:space="0" w:color="auto"/>
        <w:right w:val="none" w:sz="0" w:space="0" w:color="auto"/>
      </w:divBdr>
    </w:div>
    <w:div w:id="249392326">
      <w:bodyDiv w:val="1"/>
      <w:marLeft w:val="0"/>
      <w:marRight w:val="0"/>
      <w:marTop w:val="0"/>
      <w:marBottom w:val="0"/>
      <w:divBdr>
        <w:top w:val="none" w:sz="0" w:space="0" w:color="auto"/>
        <w:left w:val="none" w:sz="0" w:space="0" w:color="auto"/>
        <w:bottom w:val="none" w:sz="0" w:space="0" w:color="auto"/>
        <w:right w:val="none" w:sz="0" w:space="0" w:color="auto"/>
      </w:divBdr>
    </w:div>
    <w:div w:id="266230305">
      <w:bodyDiv w:val="1"/>
      <w:marLeft w:val="0"/>
      <w:marRight w:val="0"/>
      <w:marTop w:val="0"/>
      <w:marBottom w:val="0"/>
      <w:divBdr>
        <w:top w:val="none" w:sz="0" w:space="0" w:color="auto"/>
        <w:left w:val="none" w:sz="0" w:space="0" w:color="auto"/>
        <w:bottom w:val="none" w:sz="0" w:space="0" w:color="auto"/>
        <w:right w:val="none" w:sz="0" w:space="0" w:color="auto"/>
      </w:divBdr>
    </w:div>
    <w:div w:id="285544830">
      <w:bodyDiv w:val="1"/>
      <w:marLeft w:val="0"/>
      <w:marRight w:val="0"/>
      <w:marTop w:val="0"/>
      <w:marBottom w:val="0"/>
      <w:divBdr>
        <w:top w:val="none" w:sz="0" w:space="0" w:color="auto"/>
        <w:left w:val="none" w:sz="0" w:space="0" w:color="auto"/>
        <w:bottom w:val="none" w:sz="0" w:space="0" w:color="auto"/>
        <w:right w:val="none" w:sz="0" w:space="0" w:color="auto"/>
      </w:divBdr>
    </w:div>
    <w:div w:id="329215589">
      <w:bodyDiv w:val="1"/>
      <w:marLeft w:val="0"/>
      <w:marRight w:val="0"/>
      <w:marTop w:val="0"/>
      <w:marBottom w:val="0"/>
      <w:divBdr>
        <w:top w:val="none" w:sz="0" w:space="0" w:color="auto"/>
        <w:left w:val="none" w:sz="0" w:space="0" w:color="auto"/>
        <w:bottom w:val="none" w:sz="0" w:space="0" w:color="auto"/>
        <w:right w:val="none" w:sz="0" w:space="0" w:color="auto"/>
      </w:divBdr>
    </w:div>
    <w:div w:id="338779023">
      <w:bodyDiv w:val="1"/>
      <w:marLeft w:val="0"/>
      <w:marRight w:val="0"/>
      <w:marTop w:val="0"/>
      <w:marBottom w:val="0"/>
      <w:divBdr>
        <w:top w:val="none" w:sz="0" w:space="0" w:color="auto"/>
        <w:left w:val="none" w:sz="0" w:space="0" w:color="auto"/>
        <w:bottom w:val="none" w:sz="0" w:space="0" w:color="auto"/>
        <w:right w:val="none" w:sz="0" w:space="0" w:color="auto"/>
      </w:divBdr>
    </w:div>
    <w:div w:id="426467311">
      <w:bodyDiv w:val="1"/>
      <w:marLeft w:val="0"/>
      <w:marRight w:val="0"/>
      <w:marTop w:val="0"/>
      <w:marBottom w:val="0"/>
      <w:divBdr>
        <w:top w:val="none" w:sz="0" w:space="0" w:color="auto"/>
        <w:left w:val="none" w:sz="0" w:space="0" w:color="auto"/>
        <w:bottom w:val="none" w:sz="0" w:space="0" w:color="auto"/>
        <w:right w:val="none" w:sz="0" w:space="0" w:color="auto"/>
      </w:divBdr>
    </w:div>
    <w:div w:id="428351288">
      <w:bodyDiv w:val="1"/>
      <w:marLeft w:val="0"/>
      <w:marRight w:val="0"/>
      <w:marTop w:val="0"/>
      <w:marBottom w:val="0"/>
      <w:divBdr>
        <w:top w:val="none" w:sz="0" w:space="0" w:color="auto"/>
        <w:left w:val="none" w:sz="0" w:space="0" w:color="auto"/>
        <w:bottom w:val="none" w:sz="0" w:space="0" w:color="auto"/>
        <w:right w:val="none" w:sz="0" w:space="0" w:color="auto"/>
      </w:divBdr>
      <w:divsChild>
        <w:div w:id="1990787086">
          <w:marLeft w:val="0"/>
          <w:marRight w:val="0"/>
          <w:marTop w:val="0"/>
          <w:marBottom w:val="0"/>
          <w:divBdr>
            <w:top w:val="none" w:sz="0" w:space="0" w:color="auto"/>
            <w:left w:val="none" w:sz="0" w:space="0" w:color="auto"/>
            <w:bottom w:val="none" w:sz="0" w:space="0" w:color="auto"/>
            <w:right w:val="none" w:sz="0" w:space="0" w:color="auto"/>
          </w:divBdr>
        </w:div>
        <w:div w:id="1067613130">
          <w:marLeft w:val="0"/>
          <w:marRight w:val="0"/>
          <w:marTop w:val="0"/>
          <w:marBottom w:val="0"/>
          <w:divBdr>
            <w:top w:val="none" w:sz="0" w:space="0" w:color="auto"/>
            <w:left w:val="none" w:sz="0" w:space="0" w:color="auto"/>
            <w:bottom w:val="none" w:sz="0" w:space="0" w:color="auto"/>
            <w:right w:val="none" w:sz="0" w:space="0" w:color="auto"/>
          </w:divBdr>
        </w:div>
        <w:div w:id="1927877220">
          <w:marLeft w:val="0"/>
          <w:marRight w:val="0"/>
          <w:marTop w:val="0"/>
          <w:marBottom w:val="0"/>
          <w:divBdr>
            <w:top w:val="none" w:sz="0" w:space="0" w:color="auto"/>
            <w:left w:val="none" w:sz="0" w:space="0" w:color="auto"/>
            <w:bottom w:val="none" w:sz="0" w:space="0" w:color="auto"/>
            <w:right w:val="none" w:sz="0" w:space="0" w:color="auto"/>
          </w:divBdr>
        </w:div>
        <w:div w:id="436802190">
          <w:marLeft w:val="0"/>
          <w:marRight w:val="0"/>
          <w:marTop w:val="0"/>
          <w:marBottom w:val="0"/>
          <w:divBdr>
            <w:top w:val="none" w:sz="0" w:space="0" w:color="auto"/>
            <w:left w:val="none" w:sz="0" w:space="0" w:color="auto"/>
            <w:bottom w:val="none" w:sz="0" w:space="0" w:color="auto"/>
            <w:right w:val="none" w:sz="0" w:space="0" w:color="auto"/>
          </w:divBdr>
        </w:div>
        <w:div w:id="128326864">
          <w:marLeft w:val="0"/>
          <w:marRight w:val="0"/>
          <w:marTop w:val="0"/>
          <w:marBottom w:val="0"/>
          <w:divBdr>
            <w:top w:val="none" w:sz="0" w:space="0" w:color="auto"/>
            <w:left w:val="none" w:sz="0" w:space="0" w:color="auto"/>
            <w:bottom w:val="none" w:sz="0" w:space="0" w:color="auto"/>
            <w:right w:val="none" w:sz="0" w:space="0" w:color="auto"/>
          </w:divBdr>
        </w:div>
        <w:div w:id="1402361658">
          <w:marLeft w:val="0"/>
          <w:marRight w:val="0"/>
          <w:marTop w:val="0"/>
          <w:marBottom w:val="0"/>
          <w:divBdr>
            <w:top w:val="none" w:sz="0" w:space="0" w:color="auto"/>
            <w:left w:val="none" w:sz="0" w:space="0" w:color="auto"/>
            <w:bottom w:val="none" w:sz="0" w:space="0" w:color="auto"/>
            <w:right w:val="none" w:sz="0" w:space="0" w:color="auto"/>
          </w:divBdr>
        </w:div>
        <w:div w:id="1819036207">
          <w:marLeft w:val="0"/>
          <w:marRight w:val="0"/>
          <w:marTop w:val="0"/>
          <w:marBottom w:val="0"/>
          <w:divBdr>
            <w:top w:val="none" w:sz="0" w:space="0" w:color="auto"/>
            <w:left w:val="none" w:sz="0" w:space="0" w:color="auto"/>
            <w:bottom w:val="none" w:sz="0" w:space="0" w:color="auto"/>
            <w:right w:val="none" w:sz="0" w:space="0" w:color="auto"/>
          </w:divBdr>
        </w:div>
        <w:div w:id="141116166">
          <w:marLeft w:val="0"/>
          <w:marRight w:val="0"/>
          <w:marTop w:val="0"/>
          <w:marBottom w:val="0"/>
          <w:divBdr>
            <w:top w:val="none" w:sz="0" w:space="0" w:color="auto"/>
            <w:left w:val="none" w:sz="0" w:space="0" w:color="auto"/>
            <w:bottom w:val="none" w:sz="0" w:space="0" w:color="auto"/>
            <w:right w:val="none" w:sz="0" w:space="0" w:color="auto"/>
          </w:divBdr>
        </w:div>
        <w:div w:id="1282616831">
          <w:marLeft w:val="0"/>
          <w:marRight w:val="0"/>
          <w:marTop w:val="0"/>
          <w:marBottom w:val="0"/>
          <w:divBdr>
            <w:top w:val="none" w:sz="0" w:space="0" w:color="auto"/>
            <w:left w:val="none" w:sz="0" w:space="0" w:color="auto"/>
            <w:bottom w:val="none" w:sz="0" w:space="0" w:color="auto"/>
            <w:right w:val="none" w:sz="0" w:space="0" w:color="auto"/>
          </w:divBdr>
        </w:div>
      </w:divsChild>
    </w:div>
    <w:div w:id="481889306">
      <w:bodyDiv w:val="1"/>
      <w:marLeft w:val="0"/>
      <w:marRight w:val="0"/>
      <w:marTop w:val="0"/>
      <w:marBottom w:val="0"/>
      <w:divBdr>
        <w:top w:val="none" w:sz="0" w:space="0" w:color="auto"/>
        <w:left w:val="none" w:sz="0" w:space="0" w:color="auto"/>
        <w:bottom w:val="none" w:sz="0" w:space="0" w:color="auto"/>
        <w:right w:val="none" w:sz="0" w:space="0" w:color="auto"/>
      </w:divBdr>
    </w:div>
    <w:div w:id="497188419">
      <w:bodyDiv w:val="1"/>
      <w:marLeft w:val="0"/>
      <w:marRight w:val="0"/>
      <w:marTop w:val="0"/>
      <w:marBottom w:val="0"/>
      <w:divBdr>
        <w:top w:val="none" w:sz="0" w:space="0" w:color="auto"/>
        <w:left w:val="none" w:sz="0" w:space="0" w:color="auto"/>
        <w:bottom w:val="none" w:sz="0" w:space="0" w:color="auto"/>
        <w:right w:val="none" w:sz="0" w:space="0" w:color="auto"/>
      </w:divBdr>
    </w:div>
    <w:div w:id="526483112">
      <w:bodyDiv w:val="1"/>
      <w:marLeft w:val="0"/>
      <w:marRight w:val="0"/>
      <w:marTop w:val="0"/>
      <w:marBottom w:val="0"/>
      <w:divBdr>
        <w:top w:val="none" w:sz="0" w:space="0" w:color="auto"/>
        <w:left w:val="none" w:sz="0" w:space="0" w:color="auto"/>
        <w:bottom w:val="none" w:sz="0" w:space="0" w:color="auto"/>
        <w:right w:val="none" w:sz="0" w:space="0" w:color="auto"/>
      </w:divBdr>
    </w:div>
    <w:div w:id="543174416">
      <w:bodyDiv w:val="1"/>
      <w:marLeft w:val="0"/>
      <w:marRight w:val="0"/>
      <w:marTop w:val="0"/>
      <w:marBottom w:val="0"/>
      <w:divBdr>
        <w:top w:val="none" w:sz="0" w:space="0" w:color="auto"/>
        <w:left w:val="none" w:sz="0" w:space="0" w:color="auto"/>
        <w:bottom w:val="none" w:sz="0" w:space="0" w:color="auto"/>
        <w:right w:val="none" w:sz="0" w:space="0" w:color="auto"/>
      </w:divBdr>
    </w:div>
    <w:div w:id="611910169">
      <w:bodyDiv w:val="1"/>
      <w:marLeft w:val="0"/>
      <w:marRight w:val="0"/>
      <w:marTop w:val="0"/>
      <w:marBottom w:val="0"/>
      <w:divBdr>
        <w:top w:val="none" w:sz="0" w:space="0" w:color="auto"/>
        <w:left w:val="none" w:sz="0" w:space="0" w:color="auto"/>
        <w:bottom w:val="none" w:sz="0" w:space="0" w:color="auto"/>
        <w:right w:val="none" w:sz="0" w:space="0" w:color="auto"/>
      </w:divBdr>
    </w:div>
    <w:div w:id="643506627">
      <w:bodyDiv w:val="1"/>
      <w:marLeft w:val="0"/>
      <w:marRight w:val="0"/>
      <w:marTop w:val="0"/>
      <w:marBottom w:val="0"/>
      <w:divBdr>
        <w:top w:val="none" w:sz="0" w:space="0" w:color="auto"/>
        <w:left w:val="none" w:sz="0" w:space="0" w:color="auto"/>
        <w:bottom w:val="none" w:sz="0" w:space="0" w:color="auto"/>
        <w:right w:val="none" w:sz="0" w:space="0" w:color="auto"/>
      </w:divBdr>
    </w:div>
    <w:div w:id="690181430">
      <w:bodyDiv w:val="1"/>
      <w:marLeft w:val="0"/>
      <w:marRight w:val="0"/>
      <w:marTop w:val="0"/>
      <w:marBottom w:val="0"/>
      <w:divBdr>
        <w:top w:val="none" w:sz="0" w:space="0" w:color="auto"/>
        <w:left w:val="none" w:sz="0" w:space="0" w:color="auto"/>
        <w:bottom w:val="none" w:sz="0" w:space="0" w:color="auto"/>
        <w:right w:val="none" w:sz="0" w:space="0" w:color="auto"/>
      </w:divBdr>
      <w:divsChild>
        <w:div w:id="796992603">
          <w:marLeft w:val="0"/>
          <w:marRight w:val="0"/>
          <w:marTop w:val="0"/>
          <w:marBottom w:val="480"/>
          <w:divBdr>
            <w:top w:val="none" w:sz="0" w:space="0" w:color="auto"/>
            <w:left w:val="none" w:sz="0" w:space="0" w:color="auto"/>
            <w:bottom w:val="none" w:sz="0" w:space="0" w:color="auto"/>
            <w:right w:val="none" w:sz="0" w:space="0" w:color="auto"/>
          </w:divBdr>
          <w:divsChild>
            <w:div w:id="2513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2398">
      <w:bodyDiv w:val="1"/>
      <w:marLeft w:val="0"/>
      <w:marRight w:val="0"/>
      <w:marTop w:val="0"/>
      <w:marBottom w:val="0"/>
      <w:divBdr>
        <w:top w:val="none" w:sz="0" w:space="0" w:color="auto"/>
        <w:left w:val="none" w:sz="0" w:space="0" w:color="auto"/>
        <w:bottom w:val="none" w:sz="0" w:space="0" w:color="auto"/>
        <w:right w:val="none" w:sz="0" w:space="0" w:color="auto"/>
      </w:divBdr>
    </w:div>
    <w:div w:id="702025360">
      <w:bodyDiv w:val="1"/>
      <w:marLeft w:val="0"/>
      <w:marRight w:val="0"/>
      <w:marTop w:val="0"/>
      <w:marBottom w:val="0"/>
      <w:divBdr>
        <w:top w:val="none" w:sz="0" w:space="0" w:color="auto"/>
        <w:left w:val="none" w:sz="0" w:space="0" w:color="auto"/>
        <w:bottom w:val="none" w:sz="0" w:space="0" w:color="auto"/>
        <w:right w:val="none" w:sz="0" w:space="0" w:color="auto"/>
      </w:divBdr>
    </w:div>
    <w:div w:id="741296746">
      <w:bodyDiv w:val="1"/>
      <w:marLeft w:val="0"/>
      <w:marRight w:val="0"/>
      <w:marTop w:val="0"/>
      <w:marBottom w:val="0"/>
      <w:divBdr>
        <w:top w:val="none" w:sz="0" w:space="0" w:color="auto"/>
        <w:left w:val="none" w:sz="0" w:space="0" w:color="auto"/>
        <w:bottom w:val="none" w:sz="0" w:space="0" w:color="auto"/>
        <w:right w:val="none" w:sz="0" w:space="0" w:color="auto"/>
      </w:divBdr>
    </w:div>
    <w:div w:id="765614981">
      <w:bodyDiv w:val="1"/>
      <w:marLeft w:val="0"/>
      <w:marRight w:val="0"/>
      <w:marTop w:val="0"/>
      <w:marBottom w:val="0"/>
      <w:divBdr>
        <w:top w:val="none" w:sz="0" w:space="0" w:color="auto"/>
        <w:left w:val="none" w:sz="0" w:space="0" w:color="auto"/>
        <w:bottom w:val="none" w:sz="0" w:space="0" w:color="auto"/>
        <w:right w:val="none" w:sz="0" w:space="0" w:color="auto"/>
      </w:divBdr>
      <w:divsChild>
        <w:div w:id="1052117362">
          <w:marLeft w:val="0"/>
          <w:marRight w:val="0"/>
          <w:marTop w:val="0"/>
          <w:marBottom w:val="0"/>
          <w:divBdr>
            <w:top w:val="none" w:sz="0" w:space="0" w:color="auto"/>
            <w:left w:val="none" w:sz="0" w:space="0" w:color="auto"/>
            <w:bottom w:val="none" w:sz="0" w:space="0" w:color="auto"/>
            <w:right w:val="none" w:sz="0" w:space="0" w:color="auto"/>
          </w:divBdr>
        </w:div>
      </w:divsChild>
    </w:div>
    <w:div w:id="857625378">
      <w:bodyDiv w:val="1"/>
      <w:marLeft w:val="0"/>
      <w:marRight w:val="0"/>
      <w:marTop w:val="0"/>
      <w:marBottom w:val="0"/>
      <w:divBdr>
        <w:top w:val="none" w:sz="0" w:space="0" w:color="auto"/>
        <w:left w:val="none" w:sz="0" w:space="0" w:color="auto"/>
        <w:bottom w:val="none" w:sz="0" w:space="0" w:color="auto"/>
        <w:right w:val="none" w:sz="0" w:space="0" w:color="auto"/>
      </w:divBdr>
    </w:div>
    <w:div w:id="928654661">
      <w:bodyDiv w:val="1"/>
      <w:marLeft w:val="0"/>
      <w:marRight w:val="0"/>
      <w:marTop w:val="0"/>
      <w:marBottom w:val="0"/>
      <w:divBdr>
        <w:top w:val="none" w:sz="0" w:space="0" w:color="auto"/>
        <w:left w:val="none" w:sz="0" w:space="0" w:color="auto"/>
        <w:bottom w:val="none" w:sz="0" w:space="0" w:color="auto"/>
        <w:right w:val="none" w:sz="0" w:space="0" w:color="auto"/>
      </w:divBdr>
    </w:div>
    <w:div w:id="933125933">
      <w:bodyDiv w:val="1"/>
      <w:marLeft w:val="0"/>
      <w:marRight w:val="0"/>
      <w:marTop w:val="0"/>
      <w:marBottom w:val="0"/>
      <w:divBdr>
        <w:top w:val="none" w:sz="0" w:space="0" w:color="auto"/>
        <w:left w:val="none" w:sz="0" w:space="0" w:color="auto"/>
        <w:bottom w:val="none" w:sz="0" w:space="0" w:color="auto"/>
        <w:right w:val="none" w:sz="0" w:space="0" w:color="auto"/>
      </w:divBdr>
    </w:div>
    <w:div w:id="952590915">
      <w:bodyDiv w:val="1"/>
      <w:marLeft w:val="0"/>
      <w:marRight w:val="0"/>
      <w:marTop w:val="0"/>
      <w:marBottom w:val="0"/>
      <w:divBdr>
        <w:top w:val="none" w:sz="0" w:space="0" w:color="auto"/>
        <w:left w:val="none" w:sz="0" w:space="0" w:color="auto"/>
        <w:bottom w:val="none" w:sz="0" w:space="0" w:color="auto"/>
        <w:right w:val="none" w:sz="0" w:space="0" w:color="auto"/>
      </w:divBdr>
    </w:div>
    <w:div w:id="1026827636">
      <w:bodyDiv w:val="1"/>
      <w:marLeft w:val="0"/>
      <w:marRight w:val="0"/>
      <w:marTop w:val="0"/>
      <w:marBottom w:val="0"/>
      <w:divBdr>
        <w:top w:val="none" w:sz="0" w:space="0" w:color="auto"/>
        <w:left w:val="none" w:sz="0" w:space="0" w:color="auto"/>
        <w:bottom w:val="none" w:sz="0" w:space="0" w:color="auto"/>
        <w:right w:val="none" w:sz="0" w:space="0" w:color="auto"/>
      </w:divBdr>
    </w:div>
    <w:div w:id="1110130417">
      <w:bodyDiv w:val="1"/>
      <w:marLeft w:val="0"/>
      <w:marRight w:val="0"/>
      <w:marTop w:val="0"/>
      <w:marBottom w:val="0"/>
      <w:divBdr>
        <w:top w:val="none" w:sz="0" w:space="0" w:color="auto"/>
        <w:left w:val="none" w:sz="0" w:space="0" w:color="auto"/>
        <w:bottom w:val="none" w:sz="0" w:space="0" w:color="auto"/>
        <w:right w:val="none" w:sz="0" w:space="0" w:color="auto"/>
      </w:divBdr>
    </w:div>
    <w:div w:id="1112937506">
      <w:bodyDiv w:val="1"/>
      <w:marLeft w:val="0"/>
      <w:marRight w:val="0"/>
      <w:marTop w:val="0"/>
      <w:marBottom w:val="0"/>
      <w:divBdr>
        <w:top w:val="none" w:sz="0" w:space="0" w:color="auto"/>
        <w:left w:val="none" w:sz="0" w:space="0" w:color="auto"/>
        <w:bottom w:val="none" w:sz="0" w:space="0" w:color="auto"/>
        <w:right w:val="none" w:sz="0" w:space="0" w:color="auto"/>
      </w:divBdr>
    </w:div>
    <w:div w:id="1118184435">
      <w:bodyDiv w:val="1"/>
      <w:marLeft w:val="0"/>
      <w:marRight w:val="0"/>
      <w:marTop w:val="0"/>
      <w:marBottom w:val="0"/>
      <w:divBdr>
        <w:top w:val="none" w:sz="0" w:space="0" w:color="auto"/>
        <w:left w:val="none" w:sz="0" w:space="0" w:color="auto"/>
        <w:bottom w:val="none" w:sz="0" w:space="0" w:color="auto"/>
        <w:right w:val="none" w:sz="0" w:space="0" w:color="auto"/>
      </w:divBdr>
    </w:div>
    <w:div w:id="1136606138">
      <w:bodyDiv w:val="1"/>
      <w:marLeft w:val="0"/>
      <w:marRight w:val="0"/>
      <w:marTop w:val="0"/>
      <w:marBottom w:val="0"/>
      <w:divBdr>
        <w:top w:val="none" w:sz="0" w:space="0" w:color="auto"/>
        <w:left w:val="none" w:sz="0" w:space="0" w:color="auto"/>
        <w:bottom w:val="none" w:sz="0" w:space="0" w:color="auto"/>
        <w:right w:val="none" w:sz="0" w:space="0" w:color="auto"/>
      </w:divBdr>
    </w:div>
    <w:div w:id="1157920414">
      <w:bodyDiv w:val="1"/>
      <w:marLeft w:val="0"/>
      <w:marRight w:val="0"/>
      <w:marTop w:val="0"/>
      <w:marBottom w:val="0"/>
      <w:divBdr>
        <w:top w:val="none" w:sz="0" w:space="0" w:color="auto"/>
        <w:left w:val="none" w:sz="0" w:space="0" w:color="auto"/>
        <w:bottom w:val="none" w:sz="0" w:space="0" w:color="auto"/>
        <w:right w:val="none" w:sz="0" w:space="0" w:color="auto"/>
      </w:divBdr>
    </w:div>
    <w:div w:id="1196846631">
      <w:bodyDiv w:val="1"/>
      <w:marLeft w:val="0"/>
      <w:marRight w:val="0"/>
      <w:marTop w:val="0"/>
      <w:marBottom w:val="0"/>
      <w:divBdr>
        <w:top w:val="none" w:sz="0" w:space="0" w:color="auto"/>
        <w:left w:val="none" w:sz="0" w:space="0" w:color="auto"/>
        <w:bottom w:val="none" w:sz="0" w:space="0" w:color="auto"/>
        <w:right w:val="none" w:sz="0" w:space="0" w:color="auto"/>
      </w:divBdr>
    </w:div>
    <w:div w:id="1206019342">
      <w:bodyDiv w:val="1"/>
      <w:marLeft w:val="0"/>
      <w:marRight w:val="0"/>
      <w:marTop w:val="0"/>
      <w:marBottom w:val="0"/>
      <w:divBdr>
        <w:top w:val="none" w:sz="0" w:space="0" w:color="auto"/>
        <w:left w:val="none" w:sz="0" w:space="0" w:color="auto"/>
        <w:bottom w:val="none" w:sz="0" w:space="0" w:color="auto"/>
        <w:right w:val="none" w:sz="0" w:space="0" w:color="auto"/>
      </w:divBdr>
    </w:div>
    <w:div w:id="1268464270">
      <w:bodyDiv w:val="1"/>
      <w:marLeft w:val="0"/>
      <w:marRight w:val="0"/>
      <w:marTop w:val="0"/>
      <w:marBottom w:val="0"/>
      <w:divBdr>
        <w:top w:val="none" w:sz="0" w:space="0" w:color="auto"/>
        <w:left w:val="none" w:sz="0" w:space="0" w:color="auto"/>
        <w:bottom w:val="none" w:sz="0" w:space="0" w:color="auto"/>
        <w:right w:val="none" w:sz="0" w:space="0" w:color="auto"/>
      </w:divBdr>
    </w:div>
    <w:div w:id="1344086034">
      <w:bodyDiv w:val="1"/>
      <w:marLeft w:val="0"/>
      <w:marRight w:val="0"/>
      <w:marTop w:val="0"/>
      <w:marBottom w:val="0"/>
      <w:divBdr>
        <w:top w:val="none" w:sz="0" w:space="0" w:color="auto"/>
        <w:left w:val="none" w:sz="0" w:space="0" w:color="auto"/>
        <w:bottom w:val="none" w:sz="0" w:space="0" w:color="auto"/>
        <w:right w:val="none" w:sz="0" w:space="0" w:color="auto"/>
      </w:divBdr>
    </w:div>
    <w:div w:id="1406880802">
      <w:bodyDiv w:val="1"/>
      <w:marLeft w:val="0"/>
      <w:marRight w:val="0"/>
      <w:marTop w:val="0"/>
      <w:marBottom w:val="0"/>
      <w:divBdr>
        <w:top w:val="none" w:sz="0" w:space="0" w:color="auto"/>
        <w:left w:val="none" w:sz="0" w:space="0" w:color="auto"/>
        <w:bottom w:val="none" w:sz="0" w:space="0" w:color="auto"/>
        <w:right w:val="none" w:sz="0" w:space="0" w:color="auto"/>
      </w:divBdr>
    </w:div>
    <w:div w:id="1412584348">
      <w:bodyDiv w:val="1"/>
      <w:marLeft w:val="0"/>
      <w:marRight w:val="0"/>
      <w:marTop w:val="0"/>
      <w:marBottom w:val="0"/>
      <w:divBdr>
        <w:top w:val="none" w:sz="0" w:space="0" w:color="auto"/>
        <w:left w:val="none" w:sz="0" w:space="0" w:color="auto"/>
        <w:bottom w:val="none" w:sz="0" w:space="0" w:color="auto"/>
        <w:right w:val="none" w:sz="0" w:space="0" w:color="auto"/>
      </w:divBdr>
    </w:div>
    <w:div w:id="1424841394">
      <w:bodyDiv w:val="1"/>
      <w:marLeft w:val="0"/>
      <w:marRight w:val="0"/>
      <w:marTop w:val="0"/>
      <w:marBottom w:val="0"/>
      <w:divBdr>
        <w:top w:val="none" w:sz="0" w:space="0" w:color="auto"/>
        <w:left w:val="none" w:sz="0" w:space="0" w:color="auto"/>
        <w:bottom w:val="none" w:sz="0" w:space="0" w:color="auto"/>
        <w:right w:val="none" w:sz="0" w:space="0" w:color="auto"/>
      </w:divBdr>
    </w:div>
    <w:div w:id="1467816543">
      <w:bodyDiv w:val="1"/>
      <w:marLeft w:val="0"/>
      <w:marRight w:val="0"/>
      <w:marTop w:val="0"/>
      <w:marBottom w:val="0"/>
      <w:divBdr>
        <w:top w:val="none" w:sz="0" w:space="0" w:color="auto"/>
        <w:left w:val="none" w:sz="0" w:space="0" w:color="auto"/>
        <w:bottom w:val="none" w:sz="0" w:space="0" w:color="auto"/>
        <w:right w:val="none" w:sz="0" w:space="0" w:color="auto"/>
      </w:divBdr>
    </w:div>
    <w:div w:id="1486824638">
      <w:bodyDiv w:val="1"/>
      <w:marLeft w:val="0"/>
      <w:marRight w:val="0"/>
      <w:marTop w:val="0"/>
      <w:marBottom w:val="0"/>
      <w:divBdr>
        <w:top w:val="none" w:sz="0" w:space="0" w:color="auto"/>
        <w:left w:val="none" w:sz="0" w:space="0" w:color="auto"/>
        <w:bottom w:val="none" w:sz="0" w:space="0" w:color="auto"/>
        <w:right w:val="none" w:sz="0" w:space="0" w:color="auto"/>
      </w:divBdr>
    </w:div>
    <w:div w:id="1510411914">
      <w:bodyDiv w:val="1"/>
      <w:marLeft w:val="0"/>
      <w:marRight w:val="0"/>
      <w:marTop w:val="0"/>
      <w:marBottom w:val="0"/>
      <w:divBdr>
        <w:top w:val="none" w:sz="0" w:space="0" w:color="auto"/>
        <w:left w:val="none" w:sz="0" w:space="0" w:color="auto"/>
        <w:bottom w:val="none" w:sz="0" w:space="0" w:color="auto"/>
        <w:right w:val="none" w:sz="0" w:space="0" w:color="auto"/>
      </w:divBdr>
    </w:div>
    <w:div w:id="1542783207">
      <w:bodyDiv w:val="1"/>
      <w:marLeft w:val="0"/>
      <w:marRight w:val="0"/>
      <w:marTop w:val="0"/>
      <w:marBottom w:val="0"/>
      <w:divBdr>
        <w:top w:val="none" w:sz="0" w:space="0" w:color="auto"/>
        <w:left w:val="none" w:sz="0" w:space="0" w:color="auto"/>
        <w:bottom w:val="none" w:sz="0" w:space="0" w:color="auto"/>
        <w:right w:val="none" w:sz="0" w:space="0" w:color="auto"/>
      </w:divBdr>
    </w:div>
    <w:div w:id="1559779070">
      <w:bodyDiv w:val="1"/>
      <w:marLeft w:val="0"/>
      <w:marRight w:val="0"/>
      <w:marTop w:val="0"/>
      <w:marBottom w:val="0"/>
      <w:divBdr>
        <w:top w:val="none" w:sz="0" w:space="0" w:color="auto"/>
        <w:left w:val="none" w:sz="0" w:space="0" w:color="auto"/>
        <w:bottom w:val="none" w:sz="0" w:space="0" w:color="auto"/>
        <w:right w:val="none" w:sz="0" w:space="0" w:color="auto"/>
      </w:divBdr>
    </w:div>
    <w:div w:id="1564410026">
      <w:bodyDiv w:val="1"/>
      <w:marLeft w:val="0"/>
      <w:marRight w:val="0"/>
      <w:marTop w:val="0"/>
      <w:marBottom w:val="0"/>
      <w:divBdr>
        <w:top w:val="none" w:sz="0" w:space="0" w:color="auto"/>
        <w:left w:val="none" w:sz="0" w:space="0" w:color="auto"/>
        <w:bottom w:val="none" w:sz="0" w:space="0" w:color="auto"/>
        <w:right w:val="none" w:sz="0" w:space="0" w:color="auto"/>
      </w:divBdr>
      <w:divsChild>
        <w:div w:id="784351658">
          <w:marLeft w:val="0"/>
          <w:marRight w:val="0"/>
          <w:marTop w:val="0"/>
          <w:marBottom w:val="0"/>
          <w:divBdr>
            <w:top w:val="none" w:sz="0" w:space="0" w:color="auto"/>
            <w:left w:val="none" w:sz="0" w:space="0" w:color="auto"/>
            <w:bottom w:val="none" w:sz="0" w:space="0" w:color="auto"/>
            <w:right w:val="none" w:sz="0" w:space="0" w:color="auto"/>
          </w:divBdr>
        </w:div>
        <w:div w:id="854459949">
          <w:marLeft w:val="0"/>
          <w:marRight w:val="0"/>
          <w:marTop w:val="0"/>
          <w:marBottom w:val="0"/>
          <w:divBdr>
            <w:top w:val="none" w:sz="0" w:space="0" w:color="auto"/>
            <w:left w:val="none" w:sz="0" w:space="0" w:color="auto"/>
            <w:bottom w:val="none" w:sz="0" w:space="0" w:color="auto"/>
            <w:right w:val="none" w:sz="0" w:space="0" w:color="auto"/>
          </w:divBdr>
        </w:div>
        <w:div w:id="2099406887">
          <w:marLeft w:val="0"/>
          <w:marRight w:val="0"/>
          <w:marTop w:val="0"/>
          <w:marBottom w:val="0"/>
          <w:divBdr>
            <w:top w:val="none" w:sz="0" w:space="0" w:color="auto"/>
            <w:left w:val="none" w:sz="0" w:space="0" w:color="auto"/>
            <w:bottom w:val="none" w:sz="0" w:space="0" w:color="auto"/>
            <w:right w:val="none" w:sz="0" w:space="0" w:color="auto"/>
          </w:divBdr>
        </w:div>
        <w:div w:id="1231890774">
          <w:marLeft w:val="0"/>
          <w:marRight w:val="0"/>
          <w:marTop w:val="0"/>
          <w:marBottom w:val="0"/>
          <w:divBdr>
            <w:top w:val="none" w:sz="0" w:space="0" w:color="auto"/>
            <w:left w:val="none" w:sz="0" w:space="0" w:color="auto"/>
            <w:bottom w:val="none" w:sz="0" w:space="0" w:color="auto"/>
            <w:right w:val="none" w:sz="0" w:space="0" w:color="auto"/>
          </w:divBdr>
        </w:div>
      </w:divsChild>
    </w:div>
    <w:div w:id="1628009321">
      <w:bodyDiv w:val="1"/>
      <w:marLeft w:val="0"/>
      <w:marRight w:val="0"/>
      <w:marTop w:val="0"/>
      <w:marBottom w:val="0"/>
      <w:divBdr>
        <w:top w:val="none" w:sz="0" w:space="0" w:color="auto"/>
        <w:left w:val="none" w:sz="0" w:space="0" w:color="auto"/>
        <w:bottom w:val="none" w:sz="0" w:space="0" w:color="auto"/>
        <w:right w:val="none" w:sz="0" w:space="0" w:color="auto"/>
      </w:divBdr>
    </w:div>
    <w:div w:id="1635521640">
      <w:bodyDiv w:val="1"/>
      <w:marLeft w:val="0"/>
      <w:marRight w:val="0"/>
      <w:marTop w:val="0"/>
      <w:marBottom w:val="0"/>
      <w:divBdr>
        <w:top w:val="none" w:sz="0" w:space="0" w:color="auto"/>
        <w:left w:val="none" w:sz="0" w:space="0" w:color="auto"/>
        <w:bottom w:val="none" w:sz="0" w:space="0" w:color="auto"/>
        <w:right w:val="none" w:sz="0" w:space="0" w:color="auto"/>
      </w:divBdr>
    </w:div>
    <w:div w:id="1651405663">
      <w:bodyDiv w:val="1"/>
      <w:marLeft w:val="0"/>
      <w:marRight w:val="0"/>
      <w:marTop w:val="0"/>
      <w:marBottom w:val="0"/>
      <w:divBdr>
        <w:top w:val="none" w:sz="0" w:space="0" w:color="auto"/>
        <w:left w:val="none" w:sz="0" w:space="0" w:color="auto"/>
        <w:bottom w:val="none" w:sz="0" w:space="0" w:color="auto"/>
        <w:right w:val="none" w:sz="0" w:space="0" w:color="auto"/>
      </w:divBdr>
    </w:div>
    <w:div w:id="1663659790">
      <w:bodyDiv w:val="1"/>
      <w:marLeft w:val="0"/>
      <w:marRight w:val="0"/>
      <w:marTop w:val="0"/>
      <w:marBottom w:val="0"/>
      <w:divBdr>
        <w:top w:val="none" w:sz="0" w:space="0" w:color="auto"/>
        <w:left w:val="none" w:sz="0" w:space="0" w:color="auto"/>
        <w:bottom w:val="none" w:sz="0" w:space="0" w:color="auto"/>
        <w:right w:val="none" w:sz="0" w:space="0" w:color="auto"/>
      </w:divBdr>
    </w:div>
    <w:div w:id="1664091243">
      <w:bodyDiv w:val="1"/>
      <w:marLeft w:val="0"/>
      <w:marRight w:val="0"/>
      <w:marTop w:val="0"/>
      <w:marBottom w:val="0"/>
      <w:divBdr>
        <w:top w:val="none" w:sz="0" w:space="0" w:color="auto"/>
        <w:left w:val="none" w:sz="0" w:space="0" w:color="auto"/>
        <w:bottom w:val="none" w:sz="0" w:space="0" w:color="auto"/>
        <w:right w:val="none" w:sz="0" w:space="0" w:color="auto"/>
      </w:divBdr>
    </w:div>
    <w:div w:id="1704674545">
      <w:bodyDiv w:val="1"/>
      <w:marLeft w:val="0"/>
      <w:marRight w:val="0"/>
      <w:marTop w:val="0"/>
      <w:marBottom w:val="0"/>
      <w:divBdr>
        <w:top w:val="none" w:sz="0" w:space="0" w:color="auto"/>
        <w:left w:val="none" w:sz="0" w:space="0" w:color="auto"/>
        <w:bottom w:val="none" w:sz="0" w:space="0" w:color="auto"/>
        <w:right w:val="none" w:sz="0" w:space="0" w:color="auto"/>
      </w:divBdr>
    </w:div>
    <w:div w:id="1709260174">
      <w:bodyDiv w:val="1"/>
      <w:marLeft w:val="0"/>
      <w:marRight w:val="0"/>
      <w:marTop w:val="0"/>
      <w:marBottom w:val="0"/>
      <w:divBdr>
        <w:top w:val="none" w:sz="0" w:space="0" w:color="auto"/>
        <w:left w:val="none" w:sz="0" w:space="0" w:color="auto"/>
        <w:bottom w:val="none" w:sz="0" w:space="0" w:color="auto"/>
        <w:right w:val="none" w:sz="0" w:space="0" w:color="auto"/>
      </w:divBdr>
    </w:div>
    <w:div w:id="1722245634">
      <w:bodyDiv w:val="1"/>
      <w:marLeft w:val="0"/>
      <w:marRight w:val="0"/>
      <w:marTop w:val="0"/>
      <w:marBottom w:val="0"/>
      <w:divBdr>
        <w:top w:val="none" w:sz="0" w:space="0" w:color="auto"/>
        <w:left w:val="none" w:sz="0" w:space="0" w:color="auto"/>
        <w:bottom w:val="none" w:sz="0" w:space="0" w:color="auto"/>
        <w:right w:val="none" w:sz="0" w:space="0" w:color="auto"/>
      </w:divBdr>
    </w:div>
    <w:div w:id="1728869864">
      <w:bodyDiv w:val="1"/>
      <w:marLeft w:val="0"/>
      <w:marRight w:val="0"/>
      <w:marTop w:val="0"/>
      <w:marBottom w:val="0"/>
      <w:divBdr>
        <w:top w:val="none" w:sz="0" w:space="0" w:color="auto"/>
        <w:left w:val="none" w:sz="0" w:space="0" w:color="auto"/>
        <w:bottom w:val="none" w:sz="0" w:space="0" w:color="auto"/>
        <w:right w:val="none" w:sz="0" w:space="0" w:color="auto"/>
      </w:divBdr>
    </w:div>
    <w:div w:id="1754817019">
      <w:bodyDiv w:val="1"/>
      <w:marLeft w:val="0"/>
      <w:marRight w:val="0"/>
      <w:marTop w:val="0"/>
      <w:marBottom w:val="0"/>
      <w:divBdr>
        <w:top w:val="none" w:sz="0" w:space="0" w:color="auto"/>
        <w:left w:val="none" w:sz="0" w:space="0" w:color="auto"/>
        <w:bottom w:val="none" w:sz="0" w:space="0" w:color="auto"/>
        <w:right w:val="none" w:sz="0" w:space="0" w:color="auto"/>
      </w:divBdr>
    </w:div>
    <w:div w:id="1780249444">
      <w:bodyDiv w:val="1"/>
      <w:marLeft w:val="0"/>
      <w:marRight w:val="0"/>
      <w:marTop w:val="0"/>
      <w:marBottom w:val="0"/>
      <w:divBdr>
        <w:top w:val="none" w:sz="0" w:space="0" w:color="auto"/>
        <w:left w:val="none" w:sz="0" w:space="0" w:color="auto"/>
        <w:bottom w:val="none" w:sz="0" w:space="0" w:color="auto"/>
        <w:right w:val="none" w:sz="0" w:space="0" w:color="auto"/>
      </w:divBdr>
    </w:div>
    <w:div w:id="1821458634">
      <w:bodyDiv w:val="1"/>
      <w:marLeft w:val="0"/>
      <w:marRight w:val="0"/>
      <w:marTop w:val="0"/>
      <w:marBottom w:val="0"/>
      <w:divBdr>
        <w:top w:val="none" w:sz="0" w:space="0" w:color="auto"/>
        <w:left w:val="none" w:sz="0" w:space="0" w:color="auto"/>
        <w:bottom w:val="none" w:sz="0" w:space="0" w:color="auto"/>
        <w:right w:val="none" w:sz="0" w:space="0" w:color="auto"/>
      </w:divBdr>
    </w:div>
    <w:div w:id="1846171530">
      <w:bodyDiv w:val="1"/>
      <w:marLeft w:val="0"/>
      <w:marRight w:val="0"/>
      <w:marTop w:val="0"/>
      <w:marBottom w:val="0"/>
      <w:divBdr>
        <w:top w:val="none" w:sz="0" w:space="0" w:color="auto"/>
        <w:left w:val="none" w:sz="0" w:space="0" w:color="auto"/>
        <w:bottom w:val="none" w:sz="0" w:space="0" w:color="auto"/>
        <w:right w:val="none" w:sz="0" w:space="0" w:color="auto"/>
      </w:divBdr>
    </w:div>
    <w:div w:id="1877353343">
      <w:bodyDiv w:val="1"/>
      <w:marLeft w:val="0"/>
      <w:marRight w:val="0"/>
      <w:marTop w:val="0"/>
      <w:marBottom w:val="0"/>
      <w:divBdr>
        <w:top w:val="none" w:sz="0" w:space="0" w:color="auto"/>
        <w:left w:val="none" w:sz="0" w:space="0" w:color="auto"/>
        <w:bottom w:val="none" w:sz="0" w:space="0" w:color="auto"/>
        <w:right w:val="none" w:sz="0" w:space="0" w:color="auto"/>
      </w:divBdr>
    </w:div>
    <w:div w:id="1902399792">
      <w:bodyDiv w:val="1"/>
      <w:marLeft w:val="0"/>
      <w:marRight w:val="0"/>
      <w:marTop w:val="0"/>
      <w:marBottom w:val="0"/>
      <w:divBdr>
        <w:top w:val="none" w:sz="0" w:space="0" w:color="auto"/>
        <w:left w:val="none" w:sz="0" w:space="0" w:color="auto"/>
        <w:bottom w:val="none" w:sz="0" w:space="0" w:color="auto"/>
        <w:right w:val="none" w:sz="0" w:space="0" w:color="auto"/>
      </w:divBdr>
    </w:div>
    <w:div w:id="1911649766">
      <w:bodyDiv w:val="1"/>
      <w:marLeft w:val="0"/>
      <w:marRight w:val="0"/>
      <w:marTop w:val="0"/>
      <w:marBottom w:val="0"/>
      <w:divBdr>
        <w:top w:val="none" w:sz="0" w:space="0" w:color="auto"/>
        <w:left w:val="none" w:sz="0" w:space="0" w:color="auto"/>
        <w:bottom w:val="none" w:sz="0" w:space="0" w:color="auto"/>
        <w:right w:val="none" w:sz="0" w:space="0" w:color="auto"/>
      </w:divBdr>
    </w:div>
    <w:div w:id="1990211446">
      <w:bodyDiv w:val="1"/>
      <w:marLeft w:val="0"/>
      <w:marRight w:val="0"/>
      <w:marTop w:val="0"/>
      <w:marBottom w:val="0"/>
      <w:divBdr>
        <w:top w:val="none" w:sz="0" w:space="0" w:color="auto"/>
        <w:left w:val="none" w:sz="0" w:space="0" w:color="auto"/>
        <w:bottom w:val="none" w:sz="0" w:space="0" w:color="auto"/>
        <w:right w:val="none" w:sz="0" w:space="0" w:color="auto"/>
      </w:divBdr>
    </w:div>
    <w:div w:id="1997217938">
      <w:bodyDiv w:val="1"/>
      <w:marLeft w:val="0"/>
      <w:marRight w:val="0"/>
      <w:marTop w:val="0"/>
      <w:marBottom w:val="0"/>
      <w:divBdr>
        <w:top w:val="none" w:sz="0" w:space="0" w:color="auto"/>
        <w:left w:val="none" w:sz="0" w:space="0" w:color="auto"/>
        <w:bottom w:val="none" w:sz="0" w:space="0" w:color="auto"/>
        <w:right w:val="none" w:sz="0" w:space="0" w:color="auto"/>
      </w:divBdr>
    </w:div>
    <w:div w:id="2129931882">
      <w:bodyDiv w:val="1"/>
      <w:marLeft w:val="0"/>
      <w:marRight w:val="0"/>
      <w:marTop w:val="0"/>
      <w:marBottom w:val="0"/>
      <w:divBdr>
        <w:top w:val="none" w:sz="0" w:space="0" w:color="auto"/>
        <w:left w:val="none" w:sz="0" w:space="0" w:color="auto"/>
        <w:bottom w:val="none" w:sz="0" w:space="0" w:color="auto"/>
        <w:right w:val="none" w:sz="0" w:space="0" w:color="auto"/>
      </w:divBdr>
    </w:div>
    <w:div w:id="2132355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lga.wales/SharedFiles/Download.aspx?pageid=62&amp;mid=665&amp;fileid=394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lga.wales/SharedFiles/Download.aspx?pageid=62&amp;mid=665&amp;fileid=3948"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wlga.wales/SharedFiles/Download.aspx?pageid=62&amp;mid=665&amp;fileid=3948" TargetMode="External"/><Relationship Id="rId13" Type="http://schemas.openxmlformats.org/officeDocument/2006/relationships/hyperlink" Target="https://unfccc.int/topics/land-use/workstreams/land-use--land-use-change-and-forestry-lulucf" TargetMode="External"/><Relationship Id="rId18" Type="http://schemas.openxmlformats.org/officeDocument/2006/relationships/hyperlink" Target="https://unfccc.int/topics/land-use/workstreams/land-use--land-use-change-and-forestry-lulucf" TargetMode="External"/><Relationship Id="rId3" Type="http://schemas.openxmlformats.org/officeDocument/2006/relationships/hyperlink" Target="https://www.theccc.org.uk/publication/voluntary-carbon-markets-and-offsetting/" TargetMode="External"/><Relationship Id="rId7" Type="http://schemas.openxmlformats.org/officeDocument/2006/relationships/hyperlink" Target="https://www.researchgate.net/publication/389705445_Rethinking_Residual_Emissions_of_Local_Authorities_in_England_Utilising_Green_Assets_Centre_for_Climate_Change_Research_C3R" TargetMode="External"/><Relationship Id="rId12" Type="http://schemas.openxmlformats.org/officeDocument/2006/relationships/hyperlink" Target="https://naei.energysecurity.gov.uk/" TargetMode="External"/><Relationship Id="rId17" Type="http://schemas.openxmlformats.org/officeDocument/2006/relationships/hyperlink" Target="https://naei.energysecurity.gov.uk/" TargetMode="External"/><Relationship Id="rId2" Type="http://schemas.openxmlformats.org/officeDocument/2006/relationships/hyperlink" Target="https://unfccc.int/topics/land-use/workstreams/land-use--land-use-change-and-forestry-lulucf" TargetMode="External"/><Relationship Id="rId16" Type="http://schemas.openxmlformats.org/officeDocument/2006/relationships/hyperlink" Target="https://unfccc.int/topics/land-use/workstreams/land-use--land-use-change-and-forestry-lulucf" TargetMode="External"/><Relationship Id="rId1" Type="http://schemas.openxmlformats.org/officeDocument/2006/relationships/hyperlink" Target="https://naei.energysecurity.gov.uk/reports/uk-greenhouse-gas-inventory-1990-2024-annual-report-submission-under-framework-convention" TargetMode="External"/><Relationship Id="rId6" Type="http://schemas.openxmlformats.org/officeDocument/2006/relationships/hyperlink" Target="https://www.sciencedirect.com/science/article/pii/S1618866706000173" TargetMode="External"/><Relationship Id="rId11" Type="http://schemas.openxmlformats.org/officeDocument/2006/relationships/hyperlink" Target="https://unfccc.int/topics/land-use/workstreams/land-use--land-use-change-and-forestry-lulucf" TargetMode="External"/><Relationship Id="rId5" Type="http://schemas.openxmlformats.org/officeDocument/2006/relationships/hyperlink" Target="https://www.darlington.gov.uk/media/nupo5o5j/darlington-the-report-v2.pdf" TargetMode="External"/><Relationship Id="rId15" Type="http://schemas.openxmlformats.org/officeDocument/2006/relationships/hyperlink" Target="https://unfccc.int/topics/land-use/workstreams/land-use--land-use-change-and-forestry-lulucf" TargetMode="External"/><Relationship Id="rId10" Type="http://schemas.openxmlformats.org/officeDocument/2006/relationships/hyperlink" Target="https://naei.energysecurity.gov.uk/reports/uk-greenhouse-gas-inventory-1990-2024-annual-report-submission-under-framework-convention" TargetMode="External"/><Relationship Id="rId19" Type="http://schemas.openxmlformats.org/officeDocument/2006/relationships/hyperlink" Target="https://lune.co/blog/carbon-offsetting-and-removal-a-glossary-of-terms" TargetMode="External"/><Relationship Id="rId4" Type="http://schemas.openxmlformats.org/officeDocument/2006/relationships/hyperlink" Target="https://www.gov.uk/government/publications/the-green-book-appraisal-and-evaluation-in-central-government/the-green-book-2020" TargetMode="External"/><Relationship Id="rId9" Type="http://schemas.openxmlformats.org/officeDocument/2006/relationships/hyperlink" Target="https://www.wlga.wales/SharedFiles/Download.aspx?pageid=62&amp;mid=665&amp;fileid=3948" TargetMode="External"/><Relationship Id="rId14" Type="http://schemas.openxmlformats.org/officeDocument/2006/relationships/hyperlink" Target="https://naei.energysecurity.gov.uk/reports/uk-greenhouse-gas-inventory-1990-2024-annual-report-submission-under-framework-conven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25B27-1C41-461D-A295-B23475DB301B}">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144</TotalTime>
  <Pages>20</Pages>
  <Words>5370</Words>
  <Characters>32762</Characters>
  <Application>Microsoft Office Word</Application>
  <DocSecurity>0</DocSecurity>
  <Lines>655</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37873</CharactersWithSpaces>
  <SharedDoc>false</SharedDoc>
  <HLinks>
    <vt:vector size="294" baseType="variant">
      <vt:variant>
        <vt:i4>4849738</vt:i4>
      </vt:variant>
      <vt:variant>
        <vt:i4>120</vt:i4>
      </vt:variant>
      <vt:variant>
        <vt:i4>0</vt:i4>
      </vt:variant>
      <vt:variant>
        <vt:i4>5</vt:i4>
      </vt:variant>
      <vt:variant>
        <vt:lpwstr>https://lune.co/blog/what-makes-a-high-quality-carbon-offset</vt:lpwstr>
      </vt:variant>
      <vt:variant>
        <vt:lpwstr/>
      </vt:variant>
      <vt:variant>
        <vt:i4>1376335</vt:i4>
      </vt:variant>
      <vt:variant>
        <vt:i4>117</vt:i4>
      </vt:variant>
      <vt:variant>
        <vt:i4>0</vt:i4>
      </vt:variant>
      <vt:variant>
        <vt:i4>5</vt:i4>
      </vt:variant>
      <vt:variant>
        <vt:lpwstr>https://lune.co/blog/5-greenwashing-trends-to-avoid-in-company-carbon-offsetting/</vt:lpwstr>
      </vt:variant>
      <vt:variant>
        <vt:lpwstr/>
      </vt:variant>
      <vt:variant>
        <vt:i4>720974</vt:i4>
      </vt:variant>
      <vt:variant>
        <vt:i4>114</vt:i4>
      </vt:variant>
      <vt:variant>
        <vt:i4>0</vt:i4>
      </vt:variant>
      <vt:variant>
        <vt:i4>5</vt:i4>
      </vt:variant>
      <vt:variant>
        <vt:lpwstr>https://lune.co/blog/how-to-approach-carbon-offsetting-without-greenwashing/</vt:lpwstr>
      </vt:variant>
      <vt:variant>
        <vt:lpwstr/>
      </vt:variant>
      <vt:variant>
        <vt:i4>6160387</vt:i4>
      </vt:variant>
      <vt:variant>
        <vt:i4>111</vt:i4>
      </vt:variant>
      <vt:variant>
        <vt:i4>0</vt:i4>
      </vt:variant>
      <vt:variant>
        <vt:i4>5</vt:i4>
      </vt:variant>
      <vt:variant>
        <vt:lpwstr>https://lune.co/blog/the-problem-with-tree-planting-projects/</vt:lpwstr>
      </vt:variant>
      <vt:variant>
        <vt:lpwstr/>
      </vt:variant>
      <vt:variant>
        <vt:i4>1310720</vt:i4>
      </vt:variant>
      <vt:variant>
        <vt:i4>108</vt:i4>
      </vt:variant>
      <vt:variant>
        <vt:i4>0</vt:i4>
      </vt:variant>
      <vt:variant>
        <vt:i4>5</vt:i4>
      </vt:variant>
      <vt:variant>
        <vt:lpwstr>https://lune.co/blog/difference-between-carbon-removal-and-emissions-avoidance-in-offsetting/</vt:lpwstr>
      </vt:variant>
      <vt:variant>
        <vt:lpwstr/>
      </vt:variant>
      <vt:variant>
        <vt:i4>3670048</vt:i4>
      </vt:variant>
      <vt:variant>
        <vt:i4>105</vt:i4>
      </vt:variant>
      <vt:variant>
        <vt:i4>0</vt:i4>
      </vt:variant>
      <vt:variant>
        <vt:i4>5</vt:i4>
      </vt:variant>
      <vt:variant>
        <vt:lpwstr>https://lune.co/blog/whats-the-role-of-carbon-standards-in-the-voluntary-carbon-market/</vt:lpwstr>
      </vt:variant>
      <vt:variant>
        <vt:lpwstr/>
      </vt:variant>
      <vt:variant>
        <vt:i4>655377</vt:i4>
      </vt:variant>
      <vt:variant>
        <vt:i4>102</vt:i4>
      </vt:variant>
      <vt:variant>
        <vt:i4>0</vt:i4>
      </vt:variant>
      <vt:variant>
        <vt:i4>5</vt:i4>
      </vt:variant>
      <vt:variant>
        <vt:lpwstr>https://lune.co/blog/we-need-to-scale-carbon-removal-now-to-limit-global-warming/</vt:lpwstr>
      </vt:variant>
      <vt:variant>
        <vt:lpwstr/>
      </vt:variant>
      <vt:variant>
        <vt:i4>1310720</vt:i4>
      </vt:variant>
      <vt:variant>
        <vt:i4>99</vt:i4>
      </vt:variant>
      <vt:variant>
        <vt:i4>0</vt:i4>
      </vt:variant>
      <vt:variant>
        <vt:i4>5</vt:i4>
      </vt:variant>
      <vt:variant>
        <vt:lpwstr>https://lune.co/blog/difference-between-carbon-removal-and-emissions-avoidance-in-offsetting/</vt:lpwstr>
      </vt:variant>
      <vt:variant>
        <vt:lpwstr/>
      </vt:variant>
      <vt:variant>
        <vt:i4>458841</vt:i4>
      </vt:variant>
      <vt:variant>
        <vt:i4>96</vt:i4>
      </vt:variant>
      <vt:variant>
        <vt:i4>0</vt:i4>
      </vt:variant>
      <vt:variant>
        <vt:i4>5</vt:i4>
      </vt:variant>
      <vt:variant>
        <vt:lpwstr>https://lune.co/blog/overview-of-carbon-offset-project-types-biochar-to-reforestation-to-direct-air-capture/</vt:lpwstr>
      </vt:variant>
      <vt:variant>
        <vt:lpwstr/>
      </vt:variant>
      <vt:variant>
        <vt:i4>7471203</vt:i4>
      </vt:variant>
      <vt:variant>
        <vt:i4>93</vt:i4>
      </vt:variant>
      <vt:variant>
        <vt:i4>0</vt:i4>
      </vt:variant>
      <vt:variant>
        <vt:i4>5</vt:i4>
      </vt:variant>
      <vt:variant>
        <vt:lpwstr>https://lune.co/blog/forget-sealing-wax-designing-a-certificate-in-step-with-the-times/</vt:lpwstr>
      </vt:variant>
      <vt:variant>
        <vt:lpwstr/>
      </vt:variant>
      <vt:variant>
        <vt:i4>7405689</vt:i4>
      </vt:variant>
      <vt:variant>
        <vt:i4>90</vt:i4>
      </vt:variant>
      <vt:variant>
        <vt:i4>0</vt:i4>
      </vt:variant>
      <vt:variant>
        <vt:i4>5</vt:i4>
      </vt:variant>
      <vt:variant>
        <vt:lpwstr>https://www.weforum.org/agenda/2022/03/carbon-insetting-vs-offsetting-an-explainer/</vt:lpwstr>
      </vt:variant>
      <vt:variant>
        <vt:lpwstr/>
      </vt:variant>
      <vt:variant>
        <vt:i4>1179734</vt:i4>
      </vt:variant>
      <vt:variant>
        <vt:i4>87</vt:i4>
      </vt:variant>
      <vt:variant>
        <vt:i4>0</vt:i4>
      </vt:variant>
      <vt:variant>
        <vt:i4>5</vt:i4>
      </vt:variant>
      <vt:variant>
        <vt:lpwstr>https://lune.co/blog/how-much-do-carbon-credits-cost/</vt:lpwstr>
      </vt:variant>
      <vt:variant>
        <vt:lpwstr/>
      </vt:variant>
      <vt:variant>
        <vt:i4>6881337</vt:i4>
      </vt:variant>
      <vt:variant>
        <vt:i4>84</vt:i4>
      </vt:variant>
      <vt:variant>
        <vt:i4>0</vt:i4>
      </vt:variant>
      <vt:variant>
        <vt:i4>5</vt:i4>
      </vt:variant>
      <vt:variant>
        <vt:lpwstr>https://lune.co/blog/creating-new-forests-for-carbon-removal-a-deep-dive-on-afforestation/</vt:lpwstr>
      </vt:variant>
      <vt:variant>
        <vt:lpwstr/>
      </vt:variant>
      <vt:variant>
        <vt:i4>1638462</vt:i4>
      </vt:variant>
      <vt:variant>
        <vt:i4>74</vt:i4>
      </vt:variant>
      <vt:variant>
        <vt:i4>0</vt:i4>
      </vt:variant>
      <vt:variant>
        <vt:i4>5</vt:i4>
      </vt:variant>
      <vt:variant>
        <vt:lpwstr/>
      </vt:variant>
      <vt:variant>
        <vt:lpwstr>_Toc198306727</vt:lpwstr>
      </vt:variant>
      <vt:variant>
        <vt:i4>1638462</vt:i4>
      </vt:variant>
      <vt:variant>
        <vt:i4>68</vt:i4>
      </vt:variant>
      <vt:variant>
        <vt:i4>0</vt:i4>
      </vt:variant>
      <vt:variant>
        <vt:i4>5</vt:i4>
      </vt:variant>
      <vt:variant>
        <vt:lpwstr/>
      </vt:variant>
      <vt:variant>
        <vt:lpwstr>_Toc198306726</vt:lpwstr>
      </vt:variant>
      <vt:variant>
        <vt:i4>1638462</vt:i4>
      </vt:variant>
      <vt:variant>
        <vt:i4>62</vt:i4>
      </vt:variant>
      <vt:variant>
        <vt:i4>0</vt:i4>
      </vt:variant>
      <vt:variant>
        <vt:i4>5</vt:i4>
      </vt:variant>
      <vt:variant>
        <vt:lpwstr/>
      </vt:variant>
      <vt:variant>
        <vt:lpwstr>_Toc198306725</vt:lpwstr>
      </vt:variant>
      <vt:variant>
        <vt:i4>1638462</vt:i4>
      </vt:variant>
      <vt:variant>
        <vt:i4>56</vt:i4>
      </vt:variant>
      <vt:variant>
        <vt:i4>0</vt:i4>
      </vt:variant>
      <vt:variant>
        <vt:i4>5</vt:i4>
      </vt:variant>
      <vt:variant>
        <vt:lpwstr/>
      </vt:variant>
      <vt:variant>
        <vt:lpwstr>_Toc198306724</vt:lpwstr>
      </vt:variant>
      <vt:variant>
        <vt:i4>1638462</vt:i4>
      </vt:variant>
      <vt:variant>
        <vt:i4>50</vt:i4>
      </vt:variant>
      <vt:variant>
        <vt:i4>0</vt:i4>
      </vt:variant>
      <vt:variant>
        <vt:i4>5</vt:i4>
      </vt:variant>
      <vt:variant>
        <vt:lpwstr/>
      </vt:variant>
      <vt:variant>
        <vt:lpwstr>_Toc198306723</vt:lpwstr>
      </vt:variant>
      <vt:variant>
        <vt:i4>1638462</vt:i4>
      </vt:variant>
      <vt:variant>
        <vt:i4>44</vt:i4>
      </vt:variant>
      <vt:variant>
        <vt:i4>0</vt:i4>
      </vt:variant>
      <vt:variant>
        <vt:i4>5</vt:i4>
      </vt:variant>
      <vt:variant>
        <vt:lpwstr/>
      </vt:variant>
      <vt:variant>
        <vt:lpwstr>_Toc198306722</vt:lpwstr>
      </vt:variant>
      <vt:variant>
        <vt:i4>1638462</vt:i4>
      </vt:variant>
      <vt:variant>
        <vt:i4>38</vt:i4>
      </vt:variant>
      <vt:variant>
        <vt:i4>0</vt:i4>
      </vt:variant>
      <vt:variant>
        <vt:i4>5</vt:i4>
      </vt:variant>
      <vt:variant>
        <vt:lpwstr/>
      </vt:variant>
      <vt:variant>
        <vt:lpwstr>_Toc198306721</vt:lpwstr>
      </vt:variant>
      <vt:variant>
        <vt:i4>1638462</vt:i4>
      </vt:variant>
      <vt:variant>
        <vt:i4>32</vt:i4>
      </vt:variant>
      <vt:variant>
        <vt:i4>0</vt:i4>
      </vt:variant>
      <vt:variant>
        <vt:i4>5</vt:i4>
      </vt:variant>
      <vt:variant>
        <vt:lpwstr/>
      </vt:variant>
      <vt:variant>
        <vt:lpwstr>_Toc198306720</vt:lpwstr>
      </vt:variant>
      <vt:variant>
        <vt:i4>1703998</vt:i4>
      </vt:variant>
      <vt:variant>
        <vt:i4>26</vt:i4>
      </vt:variant>
      <vt:variant>
        <vt:i4>0</vt:i4>
      </vt:variant>
      <vt:variant>
        <vt:i4>5</vt:i4>
      </vt:variant>
      <vt:variant>
        <vt:lpwstr/>
      </vt:variant>
      <vt:variant>
        <vt:lpwstr>_Toc198306719</vt:lpwstr>
      </vt:variant>
      <vt:variant>
        <vt:i4>1703998</vt:i4>
      </vt:variant>
      <vt:variant>
        <vt:i4>20</vt:i4>
      </vt:variant>
      <vt:variant>
        <vt:i4>0</vt:i4>
      </vt:variant>
      <vt:variant>
        <vt:i4>5</vt:i4>
      </vt:variant>
      <vt:variant>
        <vt:lpwstr/>
      </vt:variant>
      <vt:variant>
        <vt:lpwstr>_Toc198306718</vt:lpwstr>
      </vt:variant>
      <vt:variant>
        <vt:i4>1703998</vt:i4>
      </vt:variant>
      <vt:variant>
        <vt:i4>14</vt:i4>
      </vt:variant>
      <vt:variant>
        <vt:i4>0</vt:i4>
      </vt:variant>
      <vt:variant>
        <vt:i4>5</vt:i4>
      </vt:variant>
      <vt:variant>
        <vt:lpwstr/>
      </vt:variant>
      <vt:variant>
        <vt:lpwstr>_Toc198306717</vt:lpwstr>
      </vt:variant>
      <vt:variant>
        <vt:i4>1703998</vt:i4>
      </vt:variant>
      <vt:variant>
        <vt:i4>8</vt:i4>
      </vt:variant>
      <vt:variant>
        <vt:i4>0</vt:i4>
      </vt:variant>
      <vt:variant>
        <vt:i4>5</vt:i4>
      </vt:variant>
      <vt:variant>
        <vt:lpwstr/>
      </vt:variant>
      <vt:variant>
        <vt:lpwstr>_Toc198306716</vt:lpwstr>
      </vt:variant>
      <vt:variant>
        <vt:i4>1703998</vt:i4>
      </vt:variant>
      <vt:variant>
        <vt:i4>2</vt:i4>
      </vt:variant>
      <vt:variant>
        <vt:i4>0</vt:i4>
      </vt:variant>
      <vt:variant>
        <vt:i4>5</vt:i4>
      </vt:variant>
      <vt:variant>
        <vt:lpwstr/>
      </vt:variant>
      <vt:variant>
        <vt:lpwstr>_Toc198306715</vt:lpwstr>
      </vt:variant>
      <vt:variant>
        <vt:i4>3735654</vt:i4>
      </vt:variant>
      <vt:variant>
        <vt:i4>66</vt:i4>
      </vt:variant>
      <vt:variant>
        <vt:i4>0</vt:i4>
      </vt:variant>
      <vt:variant>
        <vt:i4>5</vt:i4>
      </vt:variant>
      <vt:variant>
        <vt:lpwstr>https://www.smithschool.ox.ac.uk/research/oxford-offsetting-principles</vt:lpwstr>
      </vt:variant>
      <vt:variant>
        <vt:lpwstr/>
      </vt:variant>
      <vt:variant>
        <vt:i4>7536675</vt:i4>
      </vt:variant>
      <vt:variant>
        <vt:i4>63</vt:i4>
      </vt:variant>
      <vt:variant>
        <vt:i4>0</vt:i4>
      </vt:variant>
      <vt:variant>
        <vt:i4>5</vt:i4>
      </vt:variant>
      <vt:variant>
        <vt:lpwstr>https://lgiu.org/publication/carbon-offsetting-for-local-authorities-what-are-they-and-how-do-they-work/</vt:lpwstr>
      </vt:variant>
      <vt:variant>
        <vt:lpwstr>:~:text=Offsetting%20involves%20making%20a%20payment,reducing%20emissions%20or%20removing%20carbon.</vt:lpwstr>
      </vt:variant>
      <vt:variant>
        <vt:i4>5373955</vt:i4>
      </vt:variant>
      <vt:variant>
        <vt:i4>60</vt:i4>
      </vt:variant>
      <vt:variant>
        <vt:i4>0</vt:i4>
      </vt:variant>
      <vt:variant>
        <vt:i4>5</vt:i4>
      </vt:variant>
      <vt:variant>
        <vt:lpwstr>https://www.london.gov.uk/sites/default/files/2024-11/GLA 2023 Carbon Offset Survey Monitoring Report.pdf</vt:lpwstr>
      </vt:variant>
      <vt:variant>
        <vt:lpwstr/>
      </vt:variant>
      <vt:variant>
        <vt:i4>1835030</vt:i4>
      </vt:variant>
      <vt:variant>
        <vt:i4>57</vt:i4>
      </vt:variant>
      <vt:variant>
        <vt:i4>0</vt:i4>
      </vt:variant>
      <vt:variant>
        <vt:i4>5</vt:i4>
      </vt:variant>
      <vt:variant>
        <vt:lpwstr>https://www.sustain.life/blog/difference-between-net-zero-carbon-neutral</vt:lpwstr>
      </vt:variant>
      <vt:variant>
        <vt:lpwstr/>
      </vt:variant>
      <vt:variant>
        <vt:i4>2883698</vt:i4>
      </vt:variant>
      <vt:variant>
        <vt:i4>54</vt:i4>
      </vt:variant>
      <vt:variant>
        <vt:i4>0</vt:i4>
      </vt:variant>
      <vt:variant>
        <vt:i4>5</vt:i4>
      </vt:variant>
      <vt:variant>
        <vt:lpwstr>https://lune.co/blog/carbon-offsetting-and-removal-a-glossary-of-terms</vt:lpwstr>
      </vt:variant>
      <vt:variant>
        <vt:lpwstr/>
      </vt:variant>
      <vt:variant>
        <vt:i4>7143482</vt:i4>
      </vt:variant>
      <vt:variant>
        <vt:i4>51</vt:i4>
      </vt:variant>
      <vt:variant>
        <vt:i4>0</vt:i4>
      </vt:variant>
      <vt:variant>
        <vt:i4>5</vt:i4>
      </vt:variant>
      <vt:variant>
        <vt:lpwstr>https://ghginstitute.org/2022/03/14/what-is-a-baseline/</vt:lpwstr>
      </vt:variant>
      <vt:variant>
        <vt:lpwstr/>
      </vt:variant>
      <vt:variant>
        <vt:i4>4784142</vt:i4>
      </vt:variant>
      <vt:variant>
        <vt:i4>48</vt:i4>
      </vt:variant>
      <vt:variant>
        <vt:i4>0</vt:i4>
      </vt:variant>
      <vt:variant>
        <vt:i4>5</vt:i4>
      </vt:variant>
      <vt:variant>
        <vt:lpwstr>https://lgiu.org/publication/carbon-offsetting-for-local-authorities-what-are-they-and-how-do-they-work/</vt:lpwstr>
      </vt:variant>
      <vt:variant>
        <vt:lpwstr/>
      </vt:variant>
      <vt:variant>
        <vt:i4>589849</vt:i4>
      </vt:variant>
      <vt:variant>
        <vt:i4>45</vt:i4>
      </vt:variant>
      <vt:variant>
        <vt:i4>0</vt:i4>
      </vt:variant>
      <vt:variant>
        <vt:i4>5</vt:i4>
      </vt:variant>
      <vt:variant>
        <vt:lpwstr>https://www.iucn-uk-peatlandprogramme.org/peatland-code/how-it-works</vt:lpwstr>
      </vt:variant>
      <vt:variant>
        <vt:lpwstr/>
      </vt:variant>
      <vt:variant>
        <vt:i4>7536698</vt:i4>
      </vt:variant>
      <vt:variant>
        <vt:i4>42</vt:i4>
      </vt:variant>
      <vt:variant>
        <vt:i4>0</vt:i4>
      </vt:variant>
      <vt:variant>
        <vt:i4>5</vt:i4>
      </vt:variant>
      <vt:variant>
        <vt:lpwstr>https://www.woodlandcarboncode.org.uk/</vt:lpwstr>
      </vt:variant>
      <vt:variant>
        <vt:lpwstr/>
      </vt:variant>
      <vt:variant>
        <vt:i4>589919</vt:i4>
      </vt:variant>
      <vt:variant>
        <vt:i4>39</vt:i4>
      </vt:variant>
      <vt:variant>
        <vt:i4>0</vt:i4>
      </vt:variant>
      <vt:variant>
        <vt:i4>5</vt:i4>
      </vt:variant>
      <vt:variant>
        <vt:lpwstr>https://grid.iamkate.com/</vt:lpwstr>
      </vt:variant>
      <vt:variant>
        <vt:lpwstr/>
      </vt:variant>
      <vt:variant>
        <vt:i4>4128872</vt:i4>
      </vt:variant>
      <vt:variant>
        <vt:i4>36</vt:i4>
      </vt:variant>
      <vt:variant>
        <vt:i4>0</vt:i4>
      </vt:variant>
      <vt:variant>
        <vt:i4>5</vt:i4>
      </vt:variant>
      <vt:variant>
        <vt:lpwstr>https://www.theccc.org.uk/wp-content/uploads/2023/06/Progress-in-reducing-UK-emissions-2023-Report-to-Parliament-1.pdf</vt:lpwstr>
      </vt:variant>
      <vt:variant>
        <vt:lpwstr/>
      </vt:variant>
      <vt:variant>
        <vt:i4>4128872</vt:i4>
      </vt:variant>
      <vt:variant>
        <vt:i4>33</vt:i4>
      </vt:variant>
      <vt:variant>
        <vt:i4>0</vt:i4>
      </vt:variant>
      <vt:variant>
        <vt:i4>5</vt:i4>
      </vt:variant>
      <vt:variant>
        <vt:lpwstr>https://www.theccc.org.uk/wp-content/uploads/2023/06/Progress-in-reducing-UK-emissions-2023-Report-to-Parliament-1.pdf</vt:lpwstr>
      </vt:variant>
      <vt:variant>
        <vt:lpwstr/>
      </vt:variant>
      <vt:variant>
        <vt:i4>1441813</vt:i4>
      </vt:variant>
      <vt:variant>
        <vt:i4>30</vt:i4>
      </vt:variant>
      <vt:variant>
        <vt:i4>0</vt:i4>
      </vt:variant>
      <vt:variant>
        <vt:i4>5</vt:i4>
      </vt:variant>
      <vt:variant>
        <vt:lpwstr>https://www.bsigroup.com/globalassets/localfiles/en-gb/about-bsi/sustainability/nature-investment-standards-programme/nature_investment_standards_report_26-july-2023-web-version.pdf</vt:lpwstr>
      </vt:variant>
      <vt:variant>
        <vt:lpwstr/>
      </vt:variant>
      <vt:variant>
        <vt:i4>5308420</vt:i4>
      </vt:variant>
      <vt:variant>
        <vt:i4>27</vt:i4>
      </vt:variant>
      <vt:variant>
        <vt:i4>0</vt:i4>
      </vt:variant>
      <vt:variant>
        <vt:i4>5</vt:i4>
      </vt:variant>
      <vt:variant>
        <vt:lpwstr>https://icvcm.org/core-carbon-principles/</vt:lpwstr>
      </vt:variant>
      <vt:variant>
        <vt:lpwstr/>
      </vt:variant>
      <vt:variant>
        <vt:i4>3735654</vt:i4>
      </vt:variant>
      <vt:variant>
        <vt:i4>24</vt:i4>
      </vt:variant>
      <vt:variant>
        <vt:i4>0</vt:i4>
      </vt:variant>
      <vt:variant>
        <vt:i4>5</vt:i4>
      </vt:variant>
      <vt:variant>
        <vt:lpwstr>https://www.smithschool.ox.ac.uk/research/oxford-offsetting-principles</vt:lpwstr>
      </vt:variant>
      <vt:variant>
        <vt:lpwstr/>
      </vt:variant>
      <vt:variant>
        <vt:i4>3670058</vt:i4>
      </vt:variant>
      <vt:variant>
        <vt:i4>21</vt:i4>
      </vt:variant>
      <vt:variant>
        <vt:i4>0</vt:i4>
      </vt:variant>
      <vt:variant>
        <vt:i4>5</vt:i4>
      </vt:variant>
      <vt:variant>
        <vt:lpwstr>https://www.theccc.org.uk/wp-content/uploads/2022/10/Voluntary-carbon-markets-and-offsetting-Final.pdf</vt:lpwstr>
      </vt:variant>
      <vt:variant>
        <vt:lpwstr/>
      </vt:variant>
      <vt:variant>
        <vt:i4>1835030</vt:i4>
      </vt:variant>
      <vt:variant>
        <vt:i4>18</vt:i4>
      </vt:variant>
      <vt:variant>
        <vt:i4>0</vt:i4>
      </vt:variant>
      <vt:variant>
        <vt:i4>5</vt:i4>
      </vt:variant>
      <vt:variant>
        <vt:lpwstr>https://www.sustain.life/blog/difference-between-net-zero-carbon-neutral</vt:lpwstr>
      </vt:variant>
      <vt:variant>
        <vt:lpwstr/>
      </vt:variant>
      <vt:variant>
        <vt:i4>3735654</vt:i4>
      </vt:variant>
      <vt:variant>
        <vt:i4>15</vt:i4>
      </vt:variant>
      <vt:variant>
        <vt:i4>0</vt:i4>
      </vt:variant>
      <vt:variant>
        <vt:i4>5</vt:i4>
      </vt:variant>
      <vt:variant>
        <vt:lpwstr>https://www.smithschool.ox.ac.uk/research/oxford-offsetting-principles</vt:lpwstr>
      </vt:variant>
      <vt:variant>
        <vt:lpwstr/>
      </vt:variant>
      <vt:variant>
        <vt:i4>524374</vt:i4>
      </vt:variant>
      <vt:variant>
        <vt:i4>12</vt:i4>
      </vt:variant>
      <vt:variant>
        <vt:i4>0</vt:i4>
      </vt:variant>
      <vt:variant>
        <vt:i4>5</vt:i4>
      </vt:variant>
      <vt:variant>
        <vt:lpwstr>https://apse.org.uk/index.cfm/apse/members-area/briefings/2022/22-45-voluntary-carbon-markets-and-offsetting-a-report-of-the-committee-on-climate-change/</vt:lpwstr>
      </vt:variant>
      <vt:variant>
        <vt:lpwstr/>
      </vt:variant>
      <vt:variant>
        <vt:i4>6160472</vt:i4>
      </vt:variant>
      <vt:variant>
        <vt:i4>9</vt:i4>
      </vt:variant>
      <vt:variant>
        <vt:i4>0</vt:i4>
      </vt:variant>
      <vt:variant>
        <vt:i4>5</vt:i4>
      </vt:variant>
      <vt:variant>
        <vt:lpwstr>https://nateboaz.medium.com/dont-save-the-planet-save-the-people-3a6b0f33e626</vt:lpwstr>
      </vt:variant>
      <vt:variant>
        <vt:lpwstr/>
      </vt:variant>
      <vt:variant>
        <vt:i4>7405587</vt:i4>
      </vt:variant>
      <vt:variant>
        <vt:i4>6</vt:i4>
      </vt:variant>
      <vt:variant>
        <vt:i4>0</vt:i4>
      </vt:variant>
      <vt:variant>
        <vt:i4>5</vt:i4>
      </vt:variant>
      <vt:variant>
        <vt:lpwstr>https://www.researchgate.net/publication/389705445_Rethinking_Residual_Emissions_of_Local_Authorities_in_England_Utilising_Green_Assets_Centre_for_Climate_Change_Research_C3R</vt:lpwstr>
      </vt:variant>
      <vt:variant>
        <vt:lpwstr/>
      </vt:variant>
      <vt:variant>
        <vt:i4>5046355</vt:i4>
      </vt:variant>
      <vt:variant>
        <vt:i4>3</vt:i4>
      </vt:variant>
      <vt:variant>
        <vt:i4>0</vt:i4>
      </vt:variant>
      <vt:variant>
        <vt:i4>5</vt:i4>
      </vt:variant>
      <vt:variant>
        <vt:lpwstr>https://www.gov.uk/government/publications/the-green-book-appraisal-and-evaluation-in-central-government/the-green-book-2020</vt:lpwstr>
      </vt:variant>
      <vt:variant>
        <vt:lpwstr>:~:text=The%20Green%20Book%20is%20guidance,before%2C%20during%20and%20after%20implementation.</vt:lpwstr>
      </vt:variant>
      <vt:variant>
        <vt:i4>3473526</vt:i4>
      </vt:variant>
      <vt:variant>
        <vt:i4>0</vt:i4>
      </vt:variant>
      <vt:variant>
        <vt:i4>0</vt:i4>
      </vt:variant>
      <vt:variant>
        <vt:i4>5</vt:i4>
      </vt:variant>
      <vt:variant>
        <vt:lpwstr>https://www.theccc.org.uk/publication/voluntary-carbon-markets-and-offsetting/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Burridge</dc:creator>
  <cp:lastModifiedBy>Helen Burridge</cp:lastModifiedBy>
  <cp:revision>4</cp:revision>
  <cp:lastPrinted>2025-11-19T16:19:00Z</cp:lastPrinted>
  <dcterms:created xsi:type="dcterms:W3CDTF">2026-06-04T14:45:00Z</dcterms:created>
  <dcterms:modified xsi:type="dcterms:W3CDTF">2026-06-04T16:17:00Z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3d98ac-5911-4996-9f40-934b924618b7_Enabled">
    <vt:lpwstr>true</vt:lpwstr>
  </property>
  <property fmtid="{D5CDD505-2E9C-101B-9397-08002B2CF9AE}" pid="3" name="MSIP_Label_393d98ac-5911-4996-9f40-934b924618b7_SetDate">
    <vt:lpwstr>2025-07-21T10:55:12Z</vt:lpwstr>
  </property>
  <property fmtid="{D5CDD505-2E9C-101B-9397-08002B2CF9AE}" pid="4" name="MSIP_Label_393d98ac-5911-4996-9f40-934b924618b7_Method">
    <vt:lpwstr>Standard</vt:lpwstr>
  </property>
  <property fmtid="{D5CDD505-2E9C-101B-9397-08002B2CF9AE}" pid="5" name="MSIP_Label_393d98ac-5911-4996-9f40-934b924618b7_Name">
    <vt:lpwstr>Official</vt:lpwstr>
  </property>
  <property fmtid="{D5CDD505-2E9C-101B-9397-08002B2CF9AE}" pid="6" name="MSIP_Label_393d98ac-5911-4996-9f40-934b924618b7_SiteId">
    <vt:lpwstr>671b555f-1b74-4a87-a174-b37d2b179b24</vt:lpwstr>
  </property>
  <property fmtid="{D5CDD505-2E9C-101B-9397-08002B2CF9AE}" pid="7" name="MSIP_Label_393d98ac-5911-4996-9f40-934b924618b7_ActionId">
    <vt:lpwstr>5ad688c7-a4b1-4b9e-a7f3-f7f60746f595</vt:lpwstr>
  </property>
  <property fmtid="{D5CDD505-2E9C-101B-9397-08002B2CF9AE}" pid="8" name="MSIP_Label_393d98ac-5911-4996-9f40-934b924618b7_ContentBits">
    <vt:lpwstr>0</vt:lpwstr>
  </property>
  <property fmtid="{D5CDD505-2E9C-101B-9397-08002B2CF9AE}" pid="9" name="MSIP_Label_393d98ac-5911-4996-9f40-934b924618b7_Tag">
    <vt:lpwstr>10, 3, 0, 1</vt:lpwstr>
  </property>
</Properties>
</file>